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A2C" w:rsidRDefault="00751F6B">
      <w:r>
        <w:rPr>
          <w:rFonts w:eastAsia="Times New Roman"/>
          <w:noProof/>
        </w:rPr>
        <w:drawing>
          <wp:inline distT="0" distB="0" distL="0" distR="0">
            <wp:extent cx="5943600" cy="1928160"/>
            <wp:effectExtent l="0" t="0" r="0" b="0"/>
            <wp:docPr id="1" name="Picture 1" descr="cid:1E1A995D-919D-4AEE-842E-2F387CCE7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E1A995D-919D-4AEE-842E-2F387CCE7241" descr="cid:1E1A995D-919D-4AEE-842E-2F387CCE724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943600" cy="1928160"/>
                    </a:xfrm>
                    <a:prstGeom prst="rect">
                      <a:avLst/>
                    </a:prstGeom>
                    <a:noFill/>
                    <a:ln>
                      <a:noFill/>
                    </a:ln>
                  </pic:spPr>
                </pic:pic>
              </a:graphicData>
            </a:graphic>
          </wp:inline>
        </w:drawing>
      </w:r>
    </w:p>
    <w:p w:rsidR="000E2E80" w:rsidRDefault="000E2E80" w:rsidP="000E2E80">
      <w:pPr>
        <w:spacing w:after="0"/>
        <w:jc w:val="center"/>
        <w:rPr>
          <w:b/>
          <w:sz w:val="32"/>
          <w:szCs w:val="32"/>
        </w:rPr>
      </w:pPr>
      <w:r w:rsidRPr="0032390C">
        <w:rPr>
          <w:b/>
          <w:sz w:val="32"/>
          <w:szCs w:val="32"/>
        </w:rPr>
        <w:t>Covid-19</w:t>
      </w:r>
      <w:r>
        <w:rPr>
          <w:b/>
          <w:sz w:val="32"/>
          <w:szCs w:val="32"/>
        </w:rPr>
        <w:t xml:space="preserve"> Grading Guidelines</w:t>
      </w:r>
    </w:p>
    <w:p w:rsidR="000E2E80" w:rsidRDefault="000E2E80" w:rsidP="000E2E80">
      <w:pPr>
        <w:spacing w:after="0"/>
        <w:jc w:val="center"/>
        <w:rPr>
          <w:b/>
          <w:sz w:val="32"/>
          <w:szCs w:val="32"/>
        </w:rPr>
      </w:pPr>
      <w:r>
        <w:rPr>
          <w:b/>
          <w:sz w:val="32"/>
          <w:szCs w:val="32"/>
        </w:rPr>
        <w:t>April 9, 2020</w:t>
      </w:r>
    </w:p>
    <w:p w:rsidR="000E2E80" w:rsidRDefault="000E2E80" w:rsidP="000E2E80">
      <w:pPr>
        <w:spacing w:after="0"/>
        <w:jc w:val="center"/>
        <w:rPr>
          <w:b/>
          <w:sz w:val="32"/>
          <w:szCs w:val="32"/>
        </w:rPr>
      </w:pPr>
    </w:p>
    <w:p w:rsidR="000E2E80" w:rsidRPr="00D434DE" w:rsidRDefault="000E2E80" w:rsidP="000E2E80">
      <w:pPr>
        <w:spacing w:after="0"/>
        <w:rPr>
          <w:sz w:val="24"/>
          <w:szCs w:val="24"/>
        </w:rPr>
      </w:pPr>
      <w:r w:rsidRPr="00D434DE">
        <w:rPr>
          <w:sz w:val="24"/>
          <w:szCs w:val="24"/>
        </w:rPr>
        <w:t>While we realize at-home assignments do not have the same impact as regular classroom instruction, our goal is to continue to create valuable learning opportunities for our students.  We will keep connecting with our students and parents to support learning and progress as we navigate this unusual situation.</w:t>
      </w:r>
    </w:p>
    <w:p w:rsidR="000E2E80" w:rsidRPr="00D434DE" w:rsidRDefault="000E2E80" w:rsidP="000E2E80">
      <w:pPr>
        <w:spacing w:after="0"/>
        <w:rPr>
          <w:sz w:val="24"/>
          <w:szCs w:val="24"/>
        </w:rPr>
      </w:pPr>
    </w:p>
    <w:p w:rsidR="000E2E80" w:rsidRPr="00D434DE" w:rsidRDefault="000E2E80" w:rsidP="000E2E80">
      <w:pPr>
        <w:spacing w:after="0"/>
        <w:rPr>
          <w:sz w:val="24"/>
          <w:szCs w:val="24"/>
        </w:rPr>
      </w:pPr>
      <w:r w:rsidRPr="00D434DE">
        <w:rPr>
          <w:sz w:val="24"/>
          <w:szCs w:val="24"/>
        </w:rPr>
        <w:t xml:space="preserve">The third nine-week grading period ended on March 23, 2020, and the fourth nine-week grading period is March 24 – June 4, 2020.   Report cards for the third nine-week grading period are available in the Skyward Home Access Center.  Grading guidelines for the fourth nine weeks </w:t>
      </w:r>
      <w:proofErr w:type="gramStart"/>
      <w:r w:rsidRPr="00D434DE">
        <w:rPr>
          <w:sz w:val="24"/>
          <w:szCs w:val="24"/>
        </w:rPr>
        <w:t>are outlined</w:t>
      </w:r>
      <w:proofErr w:type="gramEnd"/>
      <w:r w:rsidRPr="00D434DE">
        <w:rPr>
          <w:sz w:val="24"/>
          <w:szCs w:val="24"/>
        </w:rPr>
        <w:t xml:space="preserve"> in this document.</w:t>
      </w:r>
    </w:p>
    <w:p w:rsidR="000E2E80" w:rsidRPr="00D434DE" w:rsidRDefault="000E2E80" w:rsidP="000E2E80">
      <w:pPr>
        <w:spacing w:after="0"/>
        <w:rPr>
          <w:sz w:val="24"/>
          <w:szCs w:val="24"/>
        </w:rPr>
      </w:pPr>
    </w:p>
    <w:p w:rsidR="000E2E80" w:rsidRDefault="000E2E80" w:rsidP="000E2E80">
      <w:pPr>
        <w:spacing w:after="0"/>
        <w:rPr>
          <w:b/>
          <w:sz w:val="24"/>
          <w:szCs w:val="24"/>
        </w:rPr>
      </w:pPr>
      <w:r>
        <w:rPr>
          <w:b/>
          <w:sz w:val="24"/>
          <w:szCs w:val="24"/>
        </w:rPr>
        <w:t>Kindergarten – 8</w:t>
      </w:r>
      <w:r w:rsidRPr="00694F3E">
        <w:rPr>
          <w:b/>
          <w:sz w:val="24"/>
          <w:szCs w:val="24"/>
          <w:vertAlign w:val="superscript"/>
        </w:rPr>
        <w:t>th</w:t>
      </w:r>
      <w:r>
        <w:rPr>
          <w:b/>
          <w:sz w:val="24"/>
          <w:szCs w:val="24"/>
        </w:rPr>
        <w:t xml:space="preserve"> Grade </w:t>
      </w:r>
    </w:p>
    <w:p w:rsidR="000E2E80" w:rsidRPr="00D434DE" w:rsidRDefault="000E2E80" w:rsidP="000E2E80">
      <w:pPr>
        <w:spacing w:after="0"/>
        <w:rPr>
          <w:sz w:val="24"/>
          <w:szCs w:val="24"/>
        </w:rPr>
      </w:pPr>
      <w:r w:rsidRPr="00D434DE">
        <w:rPr>
          <w:sz w:val="24"/>
          <w:szCs w:val="24"/>
        </w:rPr>
        <w:t xml:space="preserve">Teachers will focus on continuing the instruction to prepare students for the next grade level.  </w:t>
      </w:r>
      <w:r>
        <w:rPr>
          <w:sz w:val="24"/>
          <w:szCs w:val="24"/>
        </w:rPr>
        <w:t>K-5 s</w:t>
      </w:r>
      <w:r w:rsidRPr="00D434DE">
        <w:rPr>
          <w:sz w:val="24"/>
          <w:szCs w:val="24"/>
        </w:rPr>
        <w:t>tudents will receive two grades in Reading, Language Arts, and Math and one grad</w:t>
      </w:r>
      <w:r>
        <w:rPr>
          <w:sz w:val="24"/>
          <w:szCs w:val="24"/>
        </w:rPr>
        <w:t>e in Science and Social Studies each week.  Students in 6</w:t>
      </w:r>
      <w:r w:rsidRPr="00694F3E">
        <w:rPr>
          <w:sz w:val="24"/>
          <w:szCs w:val="24"/>
          <w:vertAlign w:val="superscript"/>
        </w:rPr>
        <w:t>th</w:t>
      </w:r>
      <w:r>
        <w:rPr>
          <w:sz w:val="24"/>
          <w:szCs w:val="24"/>
        </w:rPr>
        <w:t>-8</w:t>
      </w:r>
      <w:r w:rsidRPr="00694F3E">
        <w:rPr>
          <w:sz w:val="24"/>
          <w:szCs w:val="24"/>
          <w:vertAlign w:val="superscript"/>
        </w:rPr>
        <w:t>th</w:t>
      </w:r>
      <w:r>
        <w:rPr>
          <w:sz w:val="24"/>
          <w:szCs w:val="24"/>
        </w:rPr>
        <w:t xml:space="preserve"> grade will receive two grades per week in all core subject areas and one grade per week in non-core </w:t>
      </w:r>
      <w:r w:rsidR="00D54D9E">
        <w:rPr>
          <w:sz w:val="24"/>
          <w:szCs w:val="24"/>
        </w:rPr>
        <w:t>subjects, which</w:t>
      </w:r>
      <w:r>
        <w:rPr>
          <w:sz w:val="24"/>
          <w:szCs w:val="24"/>
        </w:rPr>
        <w:t xml:space="preserve"> includes electives.</w:t>
      </w:r>
    </w:p>
    <w:p w:rsidR="000E2E80" w:rsidRPr="00D434DE" w:rsidRDefault="000E2E80" w:rsidP="000E2E80">
      <w:pPr>
        <w:spacing w:after="0"/>
        <w:rPr>
          <w:sz w:val="24"/>
          <w:szCs w:val="24"/>
        </w:rPr>
      </w:pPr>
    </w:p>
    <w:p w:rsidR="000E2E80" w:rsidRPr="00D434DE" w:rsidRDefault="000E2E80" w:rsidP="000E2E80">
      <w:pPr>
        <w:spacing w:after="0"/>
        <w:rPr>
          <w:sz w:val="24"/>
          <w:szCs w:val="24"/>
        </w:rPr>
      </w:pPr>
      <w:r w:rsidRPr="00D434DE">
        <w:rPr>
          <w:sz w:val="24"/>
          <w:szCs w:val="24"/>
        </w:rPr>
        <w:t xml:space="preserve">Online assignments in Canvas </w:t>
      </w:r>
      <w:proofErr w:type="gramStart"/>
      <w:r w:rsidRPr="00D434DE">
        <w:rPr>
          <w:sz w:val="24"/>
          <w:szCs w:val="24"/>
        </w:rPr>
        <w:t>must be completed and submitted electronically to the teacher</w:t>
      </w:r>
      <w:proofErr w:type="gramEnd"/>
      <w:r w:rsidRPr="00D434DE">
        <w:rPr>
          <w:sz w:val="24"/>
          <w:szCs w:val="24"/>
        </w:rPr>
        <w:t xml:space="preserve">.  Printed instructional material </w:t>
      </w:r>
      <w:proofErr w:type="gramStart"/>
      <w:r w:rsidRPr="00D434DE">
        <w:rPr>
          <w:sz w:val="24"/>
          <w:szCs w:val="24"/>
        </w:rPr>
        <w:t>must be submitted</w:t>
      </w:r>
      <w:proofErr w:type="gramEnd"/>
      <w:r w:rsidRPr="00D434DE">
        <w:rPr>
          <w:sz w:val="24"/>
          <w:szCs w:val="24"/>
        </w:rPr>
        <w:t xml:space="preserve"> either electronically through email or picture messages or returned on the designated drop-off dates.  Students </w:t>
      </w:r>
      <w:proofErr w:type="gramStart"/>
      <w:r w:rsidRPr="00D434DE">
        <w:rPr>
          <w:sz w:val="24"/>
          <w:szCs w:val="24"/>
        </w:rPr>
        <w:t>will be assessed</w:t>
      </w:r>
      <w:proofErr w:type="gramEnd"/>
      <w:r w:rsidRPr="00D434DE">
        <w:rPr>
          <w:sz w:val="24"/>
          <w:szCs w:val="24"/>
        </w:rPr>
        <w:t xml:space="preserve"> on participation and successful completion of the assigned work.   Students can </w:t>
      </w:r>
      <w:r w:rsidR="00FF13E5">
        <w:rPr>
          <w:sz w:val="24"/>
          <w:szCs w:val="24"/>
        </w:rPr>
        <w:t xml:space="preserve">improve their grade during the </w:t>
      </w:r>
      <w:proofErr w:type="gramStart"/>
      <w:r w:rsidR="00FF13E5">
        <w:rPr>
          <w:sz w:val="24"/>
          <w:szCs w:val="24"/>
        </w:rPr>
        <w:t>4</w:t>
      </w:r>
      <w:r w:rsidR="00FF13E5" w:rsidRPr="00FF13E5">
        <w:rPr>
          <w:sz w:val="24"/>
          <w:szCs w:val="24"/>
          <w:vertAlign w:val="superscript"/>
        </w:rPr>
        <w:t>th</w:t>
      </w:r>
      <w:proofErr w:type="gramEnd"/>
      <w:r w:rsidR="00FF13E5">
        <w:rPr>
          <w:sz w:val="24"/>
          <w:szCs w:val="24"/>
        </w:rPr>
        <w:t xml:space="preserve"> </w:t>
      </w:r>
      <w:r w:rsidRPr="00D434DE">
        <w:rPr>
          <w:sz w:val="24"/>
          <w:szCs w:val="24"/>
        </w:rPr>
        <w:t>nine-week period</w:t>
      </w:r>
      <w:r w:rsidR="00D54D9E">
        <w:rPr>
          <w:sz w:val="24"/>
          <w:szCs w:val="24"/>
        </w:rPr>
        <w:t>,</w:t>
      </w:r>
      <w:r w:rsidRPr="00D434DE">
        <w:rPr>
          <w:sz w:val="24"/>
          <w:szCs w:val="24"/>
        </w:rPr>
        <w:t xml:space="preserve"> but the 4</w:t>
      </w:r>
      <w:r w:rsidRPr="00D434DE">
        <w:rPr>
          <w:sz w:val="24"/>
          <w:szCs w:val="24"/>
          <w:vertAlign w:val="superscript"/>
        </w:rPr>
        <w:t>th</w:t>
      </w:r>
      <w:r w:rsidRPr="00D434DE">
        <w:rPr>
          <w:sz w:val="24"/>
          <w:szCs w:val="24"/>
        </w:rPr>
        <w:t xml:space="preserve"> </w:t>
      </w:r>
      <w:r w:rsidR="00FF13E5">
        <w:rPr>
          <w:sz w:val="24"/>
          <w:szCs w:val="24"/>
        </w:rPr>
        <w:t>nine-week</w:t>
      </w:r>
      <w:r w:rsidRPr="00D434DE">
        <w:rPr>
          <w:sz w:val="24"/>
          <w:szCs w:val="24"/>
        </w:rPr>
        <w:t xml:space="preserve"> average will not negatively impact student averages.  If the </w:t>
      </w:r>
      <w:proofErr w:type="gramStart"/>
      <w:r w:rsidRPr="00D434DE">
        <w:rPr>
          <w:sz w:val="24"/>
          <w:szCs w:val="24"/>
        </w:rPr>
        <w:t>3</w:t>
      </w:r>
      <w:r w:rsidRPr="00D434DE">
        <w:rPr>
          <w:sz w:val="24"/>
          <w:szCs w:val="24"/>
          <w:vertAlign w:val="superscript"/>
        </w:rPr>
        <w:t>rd</w:t>
      </w:r>
      <w:proofErr w:type="gramEnd"/>
      <w:r w:rsidRPr="00D434DE">
        <w:rPr>
          <w:sz w:val="24"/>
          <w:szCs w:val="24"/>
        </w:rPr>
        <w:t xml:space="preserve"> nine-week</w:t>
      </w:r>
      <w:r w:rsidR="00FF13E5">
        <w:rPr>
          <w:sz w:val="24"/>
          <w:szCs w:val="24"/>
        </w:rPr>
        <w:t xml:space="preserve"> </w:t>
      </w:r>
      <w:r w:rsidRPr="00D434DE">
        <w:rPr>
          <w:sz w:val="24"/>
          <w:szCs w:val="24"/>
        </w:rPr>
        <w:t>grade is higher than the 4</w:t>
      </w:r>
      <w:r w:rsidRPr="00D434DE">
        <w:rPr>
          <w:sz w:val="24"/>
          <w:szCs w:val="24"/>
          <w:vertAlign w:val="superscript"/>
        </w:rPr>
        <w:t>th</w:t>
      </w:r>
      <w:r w:rsidRPr="00D434DE">
        <w:rPr>
          <w:sz w:val="24"/>
          <w:szCs w:val="24"/>
        </w:rPr>
        <w:t xml:space="preserve"> nine-week grade, the 3</w:t>
      </w:r>
      <w:r w:rsidRPr="00D434DE">
        <w:rPr>
          <w:sz w:val="24"/>
          <w:szCs w:val="24"/>
          <w:vertAlign w:val="superscript"/>
        </w:rPr>
        <w:t>rd</w:t>
      </w:r>
      <w:r w:rsidRPr="00D434DE">
        <w:rPr>
          <w:sz w:val="24"/>
          <w:szCs w:val="24"/>
        </w:rPr>
        <w:t xml:space="preserve"> nine-week grade will be counted twice in the overall average.</w:t>
      </w:r>
    </w:p>
    <w:p w:rsidR="000E2E80" w:rsidRDefault="000E2E80" w:rsidP="000E2E80">
      <w:pPr>
        <w:spacing w:after="0"/>
        <w:rPr>
          <w:sz w:val="28"/>
          <w:szCs w:val="28"/>
        </w:rPr>
      </w:pPr>
    </w:p>
    <w:p w:rsidR="000E2E80" w:rsidRDefault="000E2E80" w:rsidP="000E2E80">
      <w:pPr>
        <w:spacing w:after="0"/>
        <w:rPr>
          <w:b/>
          <w:sz w:val="28"/>
          <w:szCs w:val="28"/>
        </w:rPr>
      </w:pPr>
    </w:p>
    <w:p w:rsidR="000E2E80" w:rsidRPr="00D434DE" w:rsidRDefault="000E2E80" w:rsidP="000E2E80">
      <w:pPr>
        <w:spacing w:after="0"/>
        <w:jc w:val="center"/>
        <w:rPr>
          <w:b/>
          <w:sz w:val="28"/>
          <w:szCs w:val="28"/>
        </w:rPr>
      </w:pPr>
      <w:r>
        <w:rPr>
          <w:b/>
          <w:sz w:val="28"/>
          <w:szCs w:val="28"/>
        </w:rPr>
        <w:lastRenderedPageBreak/>
        <w:t>Kindergarten – 8</w:t>
      </w:r>
      <w:r w:rsidRPr="00694F3E">
        <w:rPr>
          <w:b/>
          <w:sz w:val="28"/>
          <w:szCs w:val="28"/>
          <w:vertAlign w:val="superscript"/>
        </w:rPr>
        <w:t>th</w:t>
      </w:r>
      <w:r>
        <w:rPr>
          <w:b/>
          <w:sz w:val="28"/>
          <w:szCs w:val="28"/>
        </w:rPr>
        <w:t xml:space="preserve"> Grade  </w:t>
      </w:r>
      <w:r w:rsidRPr="00D434DE">
        <w:rPr>
          <w:b/>
          <w:sz w:val="28"/>
          <w:szCs w:val="28"/>
        </w:rPr>
        <w:t xml:space="preserve"> Fourth Nine-Week Averaging Examples</w:t>
      </w:r>
    </w:p>
    <w:tbl>
      <w:tblPr>
        <w:tblStyle w:val="TableGrid"/>
        <w:tblW w:w="9805" w:type="dxa"/>
        <w:tblLook w:val="04A0" w:firstRow="1" w:lastRow="0" w:firstColumn="1" w:lastColumn="0" w:noHBand="0" w:noVBand="1"/>
      </w:tblPr>
      <w:tblGrid>
        <w:gridCol w:w="1705"/>
        <w:gridCol w:w="1350"/>
        <w:gridCol w:w="1170"/>
        <w:gridCol w:w="1260"/>
        <w:gridCol w:w="1890"/>
        <w:gridCol w:w="2430"/>
      </w:tblGrid>
      <w:tr w:rsidR="000E2E80" w:rsidTr="000E2E80">
        <w:tc>
          <w:tcPr>
            <w:tcW w:w="1705" w:type="dxa"/>
            <w:tcBorders>
              <w:bottom w:val="single" w:sz="4" w:space="0" w:color="auto"/>
            </w:tcBorders>
            <w:shd w:val="clear" w:color="auto" w:fill="4472C4" w:themeFill="accent5"/>
          </w:tcPr>
          <w:p w:rsidR="000E2E80" w:rsidRPr="00D434DE" w:rsidRDefault="000E2E80" w:rsidP="00FC3DEC">
            <w:pPr>
              <w:rPr>
                <w:sz w:val="28"/>
                <w:szCs w:val="28"/>
              </w:rPr>
            </w:pPr>
          </w:p>
        </w:tc>
        <w:tc>
          <w:tcPr>
            <w:tcW w:w="1350" w:type="dxa"/>
            <w:shd w:val="clear" w:color="auto" w:fill="4472C4" w:themeFill="accent5"/>
          </w:tcPr>
          <w:p w:rsidR="000E2E80" w:rsidRPr="00D434DE" w:rsidRDefault="000E2E80" w:rsidP="00FC3DEC">
            <w:pPr>
              <w:jc w:val="center"/>
              <w:rPr>
                <w:b/>
                <w:sz w:val="28"/>
                <w:szCs w:val="28"/>
              </w:rPr>
            </w:pPr>
            <w:r w:rsidRPr="00D434DE">
              <w:rPr>
                <w:b/>
                <w:sz w:val="28"/>
                <w:szCs w:val="28"/>
              </w:rPr>
              <w:t>1</w:t>
            </w:r>
            <w:r w:rsidRPr="00D434DE">
              <w:rPr>
                <w:b/>
                <w:sz w:val="28"/>
                <w:szCs w:val="28"/>
                <w:vertAlign w:val="superscript"/>
              </w:rPr>
              <w:t>st</w:t>
            </w:r>
            <w:r w:rsidRPr="00D434DE">
              <w:rPr>
                <w:b/>
                <w:sz w:val="28"/>
                <w:szCs w:val="28"/>
              </w:rPr>
              <w:t xml:space="preserve"> 9 weeks</w:t>
            </w:r>
          </w:p>
          <w:p w:rsidR="000E2E80" w:rsidRPr="00D434DE" w:rsidRDefault="000E2E80" w:rsidP="00FC3DEC">
            <w:pPr>
              <w:jc w:val="center"/>
              <w:rPr>
                <w:b/>
                <w:sz w:val="28"/>
                <w:szCs w:val="28"/>
              </w:rPr>
            </w:pPr>
            <w:r w:rsidRPr="00D434DE">
              <w:rPr>
                <w:b/>
                <w:sz w:val="28"/>
                <w:szCs w:val="28"/>
              </w:rPr>
              <w:t>grade</w:t>
            </w:r>
          </w:p>
        </w:tc>
        <w:tc>
          <w:tcPr>
            <w:tcW w:w="1170" w:type="dxa"/>
            <w:shd w:val="clear" w:color="auto" w:fill="4472C4" w:themeFill="accent5"/>
          </w:tcPr>
          <w:p w:rsidR="000E2E80" w:rsidRPr="00D434DE" w:rsidRDefault="000E2E80" w:rsidP="00FC3DEC">
            <w:pPr>
              <w:jc w:val="center"/>
              <w:rPr>
                <w:b/>
                <w:sz w:val="28"/>
                <w:szCs w:val="28"/>
              </w:rPr>
            </w:pPr>
            <w:r w:rsidRPr="00D434DE">
              <w:rPr>
                <w:b/>
                <w:sz w:val="28"/>
                <w:szCs w:val="28"/>
              </w:rPr>
              <w:t>2</w:t>
            </w:r>
            <w:r w:rsidRPr="00D434DE">
              <w:rPr>
                <w:b/>
                <w:sz w:val="28"/>
                <w:szCs w:val="28"/>
                <w:vertAlign w:val="superscript"/>
              </w:rPr>
              <w:t>nd</w:t>
            </w:r>
            <w:r w:rsidRPr="00D434DE">
              <w:rPr>
                <w:b/>
                <w:sz w:val="28"/>
                <w:szCs w:val="28"/>
              </w:rPr>
              <w:t xml:space="preserve"> 9 weeks</w:t>
            </w:r>
          </w:p>
          <w:p w:rsidR="000E2E80" w:rsidRPr="00D434DE" w:rsidRDefault="000E2E80" w:rsidP="00FC3DEC">
            <w:pPr>
              <w:jc w:val="center"/>
              <w:rPr>
                <w:b/>
                <w:sz w:val="28"/>
                <w:szCs w:val="28"/>
              </w:rPr>
            </w:pPr>
            <w:r w:rsidRPr="00D434DE">
              <w:rPr>
                <w:b/>
                <w:sz w:val="28"/>
                <w:szCs w:val="28"/>
              </w:rPr>
              <w:t>grade</w:t>
            </w:r>
          </w:p>
        </w:tc>
        <w:tc>
          <w:tcPr>
            <w:tcW w:w="1260" w:type="dxa"/>
            <w:shd w:val="clear" w:color="auto" w:fill="4472C4" w:themeFill="accent5"/>
          </w:tcPr>
          <w:p w:rsidR="000E2E80" w:rsidRPr="00D434DE" w:rsidRDefault="000E2E80" w:rsidP="00FC3DEC">
            <w:pPr>
              <w:jc w:val="center"/>
              <w:rPr>
                <w:b/>
                <w:sz w:val="28"/>
                <w:szCs w:val="28"/>
              </w:rPr>
            </w:pPr>
            <w:r w:rsidRPr="00D434DE">
              <w:rPr>
                <w:b/>
                <w:sz w:val="28"/>
                <w:szCs w:val="28"/>
              </w:rPr>
              <w:t>3</w:t>
            </w:r>
            <w:r w:rsidRPr="00D434DE">
              <w:rPr>
                <w:b/>
                <w:sz w:val="28"/>
                <w:szCs w:val="28"/>
                <w:vertAlign w:val="superscript"/>
              </w:rPr>
              <w:t>rd</w:t>
            </w:r>
            <w:r w:rsidRPr="00D434DE">
              <w:rPr>
                <w:b/>
                <w:sz w:val="28"/>
                <w:szCs w:val="28"/>
              </w:rPr>
              <w:t xml:space="preserve"> 9 weeks grade</w:t>
            </w:r>
          </w:p>
        </w:tc>
        <w:tc>
          <w:tcPr>
            <w:tcW w:w="1890" w:type="dxa"/>
            <w:shd w:val="clear" w:color="auto" w:fill="4472C4" w:themeFill="accent5"/>
          </w:tcPr>
          <w:p w:rsidR="000E2E80" w:rsidRPr="00D434DE" w:rsidRDefault="000E2E80" w:rsidP="00FC3DEC">
            <w:pPr>
              <w:jc w:val="center"/>
              <w:rPr>
                <w:b/>
                <w:sz w:val="28"/>
                <w:szCs w:val="28"/>
              </w:rPr>
            </w:pPr>
            <w:r w:rsidRPr="00D434DE">
              <w:rPr>
                <w:b/>
                <w:sz w:val="28"/>
                <w:szCs w:val="28"/>
              </w:rPr>
              <w:t>4</w:t>
            </w:r>
            <w:r w:rsidRPr="00D434DE">
              <w:rPr>
                <w:b/>
                <w:sz w:val="28"/>
                <w:szCs w:val="28"/>
                <w:vertAlign w:val="superscript"/>
              </w:rPr>
              <w:t>th</w:t>
            </w:r>
            <w:r w:rsidRPr="00D434DE">
              <w:rPr>
                <w:b/>
                <w:sz w:val="28"/>
                <w:szCs w:val="28"/>
              </w:rPr>
              <w:t xml:space="preserve"> 9 weeks grade</w:t>
            </w:r>
          </w:p>
        </w:tc>
        <w:tc>
          <w:tcPr>
            <w:tcW w:w="2430" w:type="dxa"/>
            <w:shd w:val="clear" w:color="auto" w:fill="4472C4" w:themeFill="accent5"/>
          </w:tcPr>
          <w:p w:rsidR="000E2E80" w:rsidRPr="00D434DE" w:rsidRDefault="000E2E80" w:rsidP="00FC3DEC">
            <w:pPr>
              <w:jc w:val="center"/>
              <w:rPr>
                <w:b/>
                <w:sz w:val="28"/>
                <w:szCs w:val="28"/>
              </w:rPr>
            </w:pPr>
            <w:r w:rsidRPr="00D434DE">
              <w:rPr>
                <w:b/>
                <w:sz w:val="28"/>
                <w:szCs w:val="28"/>
              </w:rPr>
              <w:t>Yearly Average</w:t>
            </w:r>
          </w:p>
        </w:tc>
      </w:tr>
      <w:tr w:rsidR="000E2E80" w:rsidTr="000E2E80">
        <w:tc>
          <w:tcPr>
            <w:tcW w:w="1705" w:type="dxa"/>
            <w:shd w:val="clear" w:color="auto" w:fill="auto"/>
          </w:tcPr>
          <w:p w:rsidR="000E2E80" w:rsidRPr="00694F3E" w:rsidRDefault="000E2E80" w:rsidP="00FC3DEC">
            <w:pPr>
              <w:rPr>
                <w:b/>
                <w:sz w:val="24"/>
                <w:szCs w:val="24"/>
              </w:rPr>
            </w:pPr>
            <w:r w:rsidRPr="00694F3E">
              <w:rPr>
                <w:b/>
                <w:sz w:val="24"/>
                <w:szCs w:val="24"/>
              </w:rPr>
              <w:t>Example 1</w:t>
            </w:r>
          </w:p>
          <w:p w:rsidR="000E2E80" w:rsidRPr="00694F3E" w:rsidRDefault="000E2E80" w:rsidP="00FC3DEC">
            <w:pPr>
              <w:rPr>
                <w:b/>
                <w:sz w:val="24"/>
                <w:szCs w:val="24"/>
              </w:rPr>
            </w:pPr>
          </w:p>
        </w:tc>
        <w:tc>
          <w:tcPr>
            <w:tcW w:w="1350" w:type="dxa"/>
          </w:tcPr>
          <w:p w:rsidR="000E2E80" w:rsidRPr="00694F3E" w:rsidRDefault="000E2E80" w:rsidP="00FC3DEC">
            <w:pPr>
              <w:jc w:val="center"/>
              <w:rPr>
                <w:sz w:val="24"/>
                <w:szCs w:val="24"/>
              </w:rPr>
            </w:pPr>
            <w:r w:rsidRPr="00694F3E">
              <w:rPr>
                <w:sz w:val="24"/>
                <w:szCs w:val="24"/>
              </w:rPr>
              <w:t>90</w:t>
            </w:r>
          </w:p>
        </w:tc>
        <w:tc>
          <w:tcPr>
            <w:tcW w:w="1170" w:type="dxa"/>
          </w:tcPr>
          <w:p w:rsidR="000E2E80" w:rsidRPr="00694F3E" w:rsidRDefault="000E2E80" w:rsidP="00FC3DEC">
            <w:pPr>
              <w:jc w:val="center"/>
              <w:rPr>
                <w:sz w:val="24"/>
                <w:szCs w:val="24"/>
              </w:rPr>
            </w:pPr>
            <w:r w:rsidRPr="00694F3E">
              <w:rPr>
                <w:sz w:val="24"/>
                <w:szCs w:val="24"/>
              </w:rPr>
              <w:t>80</w:t>
            </w:r>
          </w:p>
        </w:tc>
        <w:tc>
          <w:tcPr>
            <w:tcW w:w="1260" w:type="dxa"/>
          </w:tcPr>
          <w:p w:rsidR="000E2E80" w:rsidRPr="00694F3E" w:rsidRDefault="000E2E80" w:rsidP="00FC3DEC">
            <w:pPr>
              <w:jc w:val="center"/>
              <w:rPr>
                <w:sz w:val="24"/>
                <w:szCs w:val="24"/>
              </w:rPr>
            </w:pPr>
            <w:r w:rsidRPr="00694F3E">
              <w:rPr>
                <w:sz w:val="24"/>
                <w:szCs w:val="24"/>
              </w:rPr>
              <w:t>80</w:t>
            </w:r>
          </w:p>
        </w:tc>
        <w:tc>
          <w:tcPr>
            <w:tcW w:w="1890" w:type="dxa"/>
          </w:tcPr>
          <w:p w:rsidR="000E2E80" w:rsidRPr="00694F3E" w:rsidRDefault="000E2E80" w:rsidP="00FC3DEC">
            <w:pPr>
              <w:rPr>
                <w:sz w:val="24"/>
                <w:szCs w:val="24"/>
              </w:rPr>
            </w:pPr>
            <w:r w:rsidRPr="00694F3E">
              <w:rPr>
                <w:noProof/>
                <w:sz w:val="24"/>
                <w:szCs w:val="24"/>
              </w:rPr>
              <mc:AlternateContent>
                <mc:Choice Requires="wps">
                  <w:drawing>
                    <wp:anchor distT="0" distB="0" distL="114300" distR="114300" simplePos="0" relativeHeight="251659264" behindDoc="0" locked="0" layoutInCell="1" allowOverlap="1" wp14:anchorId="310E3B3C" wp14:editId="0A033FD2">
                      <wp:simplePos x="0" y="0"/>
                      <wp:positionH relativeFrom="column">
                        <wp:posOffset>-59176</wp:posOffset>
                      </wp:positionH>
                      <wp:positionV relativeFrom="paragraph">
                        <wp:posOffset>39659</wp:posOffset>
                      </wp:positionV>
                      <wp:extent cx="266218" cy="127322"/>
                      <wp:effectExtent l="0" t="0" r="19685" b="25400"/>
                      <wp:wrapNone/>
                      <wp:docPr id="2" name="Straight Connector 2"/>
                      <wp:cNvGraphicFramePr/>
                      <a:graphic xmlns:a="http://schemas.openxmlformats.org/drawingml/2006/main">
                        <a:graphicData uri="http://schemas.microsoft.com/office/word/2010/wordprocessingShape">
                          <wps:wsp>
                            <wps:cNvCnPr/>
                            <wps:spPr>
                              <a:xfrm>
                                <a:off x="0" y="0"/>
                                <a:ext cx="266218" cy="127322"/>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AE6D8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3.1pt" to="16.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" strokecolor="windowText" strokeweight="1.5pt">
                      <v:stroke joinstyle="miter"/>
                    </v:line>
                  </w:pict>
                </mc:Fallback>
              </mc:AlternateContent>
            </w:r>
            <w:r w:rsidRPr="00694F3E">
              <w:rPr>
                <w:noProof/>
                <w:sz w:val="24"/>
                <w:szCs w:val="24"/>
              </w:rPr>
              <mc:AlternateContent>
                <mc:Choice Requires="wps">
                  <w:drawing>
                    <wp:anchor distT="0" distB="0" distL="114300" distR="114300" simplePos="0" relativeHeight="251660288" behindDoc="0" locked="0" layoutInCell="1" allowOverlap="1" wp14:anchorId="39B418A8" wp14:editId="4D22B5CE">
                      <wp:simplePos x="0" y="0"/>
                      <wp:positionH relativeFrom="column">
                        <wp:posOffset>316303</wp:posOffset>
                      </wp:positionH>
                      <wp:positionV relativeFrom="paragraph">
                        <wp:posOffset>135255</wp:posOffset>
                      </wp:positionV>
                      <wp:extent cx="324091" cy="0"/>
                      <wp:effectExtent l="0" t="76200" r="19050" b="95250"/>
                      <wp:wrapNone/>
                      <wp:docPr id="3" name="Straight Arrow Connector 3"/>
                      <wp:cNvGraphicFramePr/>
                      <a:graphic xmlns:a="http://schemas.openxmlformats.org/drawingml/2006/main">
                        <a:graphicData uri="http://schemas.microsoft.com/office/word/2010/wordprocessingShape">
                          <wps:wsp>
                            <wps:cNvCnPr/>
                            <wps:spPr>
                              <a:xfrm>
                                <a:off x="0" y="0"/>
                                <a:ext cx="324091"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anchor>
                  </w:drawing>
                </mc:Choice>
                <mc:Fallback>
                  <w:pict>
                    <v:shapetype w14:anchorId="3A0697AD" id="_x0000_t32" coordsize="21600,21600" o:spt="32" o:oned="t" path="m,l21600,21600e" filled="f">
                      <v:path arrowok="t" fillok="f" o:connecttype="none"/>
                      <o:lock v:ext="edit" shapetype="t"/>
                    </v:shapetype>
                    <v:shape id="Straight Arrow Connector 3" o:spid="_x0000_s1026" type="#_x0000_t32" style="position:absolute;margin-left:24.9pt;margin-top:10.65pt;width:25.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" strokecolor="windowText" strokeweight="1.5pt">
                      <v:stroke endarrow="block" joinstyle="miter"/>
                    </v:shape>
                  </w:pict>
                </mc:Fallback>
              </mc:AlternateContent>
            </w:r>
            <w:r w:rsidRPr="00694F3E">
              <w:rPr>
                <w:sz w:val="24"/>
                <w:szCs w:val="24"/>
              </w:rPr>
              <w:t xml:space="preserve">60             </w:t>
            </w:r>
            <w:r>
              <w:rPr>
                <w:sz w:val="24"/>
                <w:szCs w:val="24"/>
              </w:rPr>
              <w:t xml:space="preserve">   </w:t>
            </w:r>
            <w:r w:rsidRPr="00694F3E">
              <w:rPr>
                <w:sz w:val="24"/>
                <w:szCs w:val="24"/>
              </w:rPr>
              <w:t xml:space="preserve">80 </w:t>
            </w:r>
          </w:p>
        </w:tc>
        <w:tc>
          <w:tcPr>
            <w:tcW w:w="2430" w:type="dxa"/>
          </w:tcPr>
          <w:p w:rsidR="000E2E80" w:rsidRPr="00694F3E" w:rsidRDefault="000E2E80" w:rsidP="00FC3DEC">
            <w:pPr>
              <w:rPr>
                <w:sz w:val="24"/>
                <w:szCs w:val="24"/>
              </w:rPr>
            </w:pPr>
            <w:r w:rsidRPr="00694F3E">
              <w:rPr>
                <w:sz w:val="24"/>
                <w:szCs w:val="24"/>
              </w:rPr>
              <w:t>(90+80+80+80)/4 = 83%</w:t>
            </w:r>
          </w:p>
        </w:tc>
      </w:tr>
      <w:tr w:rsidR="000E2E80" w:rsidTr="000E2E80">
        <w:tc>
          <w:tcPr>
            <w:tcW w:w="1705" w:type="dxa"/>
            <w:shd w:val="clear" w:color="auto" w:fill="auto"/>
          </w:tcPr>
          <w:p w:rsidR="000E2E80" w:rsidRPr="00694F3E" w:rsidRDefault="000E2E80" w:rsidP="00FC3DEC">
            <w:pPr>
              <w:rPr>
                <w:b/>
                <w:sz w:val="24"/>
                <w:szCs w:val="24"/>
              </w:rPr>
            </w:pPr>
            <w:r w:rsidRPr="00694F3E">
              <w:rPr>
                <w:b/>
                <w:sz w:val="24"/>
                <w:szCs w:val="24"/>
              </w:rPr>
              <w:t>Example 2</w:t>
            </w:r>
          </w:p>
          <w:p w:rsidR="000E2E80" w:rsidRPr="00694F3E" w:rsidRDefault="000E2E80" w:rsidP="00FC3DEC">
            <w:pPr>
              <w:rPr>
                <w:b/>
                <w:sz w:val="24"/>
                <w:szCs w:val="24"/>
              </w:rPr>
            </w:pPr>
          </w:p>
        </w:tc>
        <w:tc>
          <w:tcPr>
            <w:tcW w:w="1350" w:type="dxa"/>
          </w:tcPr>
          <w:p w:rsidR="000E2E80" w:rsidRPr="00694F3E" w:rsidRDefault="000E2E80" w:rsidP="00FC3DEC">
            <w:pPr>
              <w:jc w:val="center"/>
              <w:rPr>
                <w:sz w:val="24"/>
                <w:szCs w:val="24"/>
              </w:rPr>
            </w:pPr>
            <w:r w:rsidRPr="00694F3E">
              <w:rPr>
                <w:sz w:val="24"/>
                <w:szCs w:val="24"/>
              </w:rPr>
              <w:t>90</w:t>
            </w:r>
          </w:p>
        </w:tc>
        <w:tc>
          <w:tcPr>
            <w:tcW w:w="1170" w:type="dxa"/>
          </w:tcPr>
          <w:p w:rsidR="000E2E80" w:rsidRPr="00694F3E" w:rsidRDefault="000E2E80" w:rsidP="00FC3DEC">
            <w:pPr>
              <w:jc w:val="center"/>
              <w:rPr>
                <w:sz w:val="24"/>
                <w:szCs w:val="24"/>
              </w:rPr>
            </w:pPr>
            <w:r w:rsidRPr="00694F3E">
              <w:rPr>
                <w:sz w:val="24"/>
                <w:szCs w:val="24"/>
              </w:rPr>
              <w:t>80</w:t>
            </w:r>
          </w:p>
        </w:tc>
        <w:tc>
          <w:tcPr>
            <w:tcW w:w="1260" w:type="dxa"/>
          </w:tcPr>
          <w:p w:rsidR="000E2E80" w:rsidRPr="00694F3E" w:rsidRDefault="000E2E80" w:rsidP="00FC3DEC">
            <w:pPr>
              <w:jc w:val="center"/>
              <w:rPr>
                <w:sz w:val="24"/>
                <w:szCs w:val="24"/>
              </w:rPr>
            </w:pPr>
            <w:r w:rsidRPr="00694F3E">
              <w:rPr>
                <w:sz w:val="24"/>
                <w:szCs w:val="24"/>
              </w:rPr>
              <w:t>60</w:t>
            </w:r>
          </w:p>
        </w:tc>
        <w:tc>
          <w:tcPr>
            <w:tcW w:w="1890" w:type="dxa"/>
          </w:tcPr>
          <w:p w:rsidR="000E2E80" w:rsidRPr="00694F3E" w:rsidRDefault="000E2E80" w:rsidP="00FC3DEC">
            <w:pPr>
              <w:jc w:val="center"/>
              <w:rPr>
                <w:sz w:val="24"/>
                <w:szCs w:val="24"/>
              </w:rPr>
            </w:pPr>
            <w:r w:rsidRPr="00694F3E">
              <w:rPr>
                <w:sz w:val="24"/>
                <w:szCs w:val="24"/>
              </w:rPr>
              <w:t>80</w:t>
            </w:r>
          </w:p>
        </w:tc>
        <w:tc>
          <w:tcPr>
            <w:tcW w:w="2430" w:type="dxa"/>
          </w:tcPr>
          <w:p w:rsidR="000E2E80" w:rsidRPr="00694F3E" w:rsidRDefault="000E2E80" w:rsidP="00FC3DEC">
            <w:pPr>
              <w:rPr>
                <w:sz w:val="24"/>
                <w:szCs w:val="24"/>
              </w:rPr>
            </w:pPr>
            <w:r w:rsidRPr="00694F3E">
              <w:rPr>
                <w:sz w:val="24"/>
                <w:szCs w:val="24"/>
              </w:rPr>
              <w:t>(90+80+60+80)/4=</w:t>
            </w:r>
          </w:p>
          <w:p w:rsidR="000E2E80" w:rsidRPr="00694F3E" w:rsidRDefault="000E2E80" w:rsidP="00FC3DEC">
            <w:pPr>
              <w:rPr>
                <w:sz w:val="24"/>
                <w:szCs w:val="24"/>
              </w:rPr>
            </w:pPr>
            <w:r w:rsidRPr="00694F3E">
              <w:rPr>
                <w:sz w:val="24"/>
                <w:szCs w:val="24"/>
              </w:rPr>
              <w:t>78%</w:t>
            </w:r>
          </w:p>
        </w:tc>
      </w:tr>
      <w:tr w:rsidR="000E2E80" w:rsidTr="000E2E80">
        <w:tc>
          <w:tcPr>
            <w:tcW w:w="1705" w:type="dxa"/>
            <w:shd w:val="clear" w:color="auto" w:fill="auto"/>
          </w:tcPr>
          <w:p w:rsidR="000E2E80" w:rsidRPr="00694F3E" w:rsidRDefault="000E2E80" w:rsidP="00FC3DEC">
            <w:pPr>
              <w:rPr>
                <w:b/>
                <w:sz w:val="24"/>
                <w:szCs w:val="24"/>
              </w:rPr>
            </w:pPr>
            <w:r w:rsidRPr="00694F3E">
              <w:rPr>
                <w:b/>
                <w:sz w:val="24"/>
                <w:szCs w:val="24"/>
              </w:rPr>
              <w:t>Example 3</w:t>
            </w:r>
          </w:p>
        </w:tc>
        <w:tc>
          <w:tcPr>
            <w:tcW w:w="1350" w:type="dxa"/>
          </w:tcPr>
          <w:p w:rsidR="000E2E80" w:rsidRPr="00694F3E" w:rsidRDefault="000E2E80" w:rsidP="00FC3DEC">
            <w:pPr>
              <w:jc w:val="center"/>
              <w:rPr>
                <w:sz w:val="24"/>
                <w:szCs w:val="24"/>
              </w:rPr>
            </w:pPr>
            <w:r w:rsidRPr="00694F3E">
              <w:rPr>
                <w:sz w:val="24"/>
                <w:szCs w:val="24"/>
              </w:rPr>
              <w:t>90</w:t>
            </w:r>
          </w:p>
        </w:tc>
        <w:tc>
          <w:tcPr>
            <w:tcW w:w="1170" w:type="dxa"/>
          </w:tcPr>
          <w:p w:rsidR="000E2E80" w:rsidRPr="00694F3E" w:rsidRDefault="000E2E80" w:rsidP="00FC3DEC">
            <w:pPr>
              <w:jc w:val="center"/>
              <w:rPr>
                <w:sz w:val="24"/>
                <w:szCs w:val="24"/>
              </w:rPr>
            </w:pPr>
            <w:r w:rsidRPr="00694F3E">
              <w:rPr>
                <w:sz w:val="24"/>
                <w:szCs w:val="24"/>
              </w:rPr>
              <w:t>80</w:t>
            </w:r>
          </w:p>
        </w:tc>
        <w:tc>
          <w:tcPr>
            <w:tcW w:w="1260" w:type="dxa"/>
          </w:tcPr>
          <w:p w:rsidR="000E2E80" w:rsidRPr="00694F3E" w:rsidRDefault="000E2E80" w:rsidP="00FC3DEC">
            <w:pPr>
              <w:jc w:val="center"/>
              <w:rPr>
                <w:sz w:val="24"/>
                <w:szCs w:val="24"/>
              </w:rPr>
            </w:pPr>
            <w:r w:rsidRPr="00694F3E">
              <w:rPr>
                <w:sz w:val="24"/>
                <w:szCs w:val="24"/>
              </w:rPr>
              <w:t>60</w:t>
            </w:r>
          </w:p>
        </w:tc>
        <w:tc>
          <w:tcPr>
            <w:tcW w:w="1890" w:type="dxa"/>
          </w:tcPr>
          <w:p w:rsidR="000E2E80" w:rsidRPr="00694F3E" w:rsidRDefault="000E2E80" w:rsidP="00FC3DEC">
            <w:pPr>
              <w:jc w:val="center"/>
              <w:rPr>
                <w:sz w:val="24"/>
                <w:szCs w:val="24"/>
              </w:rPr>
            </w:pPr>
            <w:r w:rsidRPr="00694F3E">
              <w:rPr>
                <w:sz w:val="24"/>
                <w:szCs w:val="24"/>
              </w:rPr>
              <w:t>60</w:t>
            </w:r>
          </w:p>
        </w:tc>
        <w:tc>
          <w:tcPr>
            <w:tcW w:w="2430" w:type="dxa"/>
          </w:tcPr>
          <w:p w:rsidR="000E2E80" w:rsidRPr="00694F3E" w:rsidRDefault="000E2E80" w:rsidP="00FC3DEC">
            <w:pPr>
              <w:rPr>
                <w:sz w:val="24"/>
                <w:szCs w:val="24"/>
              </w:rPr>
            </w:pPr>
            <w:r w:rsidRPr="00694F3E">
              <w:rPr>
                <w:sz w:val="24"/>
                <w:szCs w:val="24"/>
              </w:rPr>
              <w:t xml:space="preserve">(90+80+60+60)/4 = </w:t>
            </w:r>
          </w:p>
          <w:p w:rsidR="000E2E80" w:rsidRPr="00694F3E" w:rsidRDefault="000E2E80" w:rsidP="00FC3DEC">
            <w:pPr>
              <w:rPr>
                <w:sz w:val="24"/>
                <w:szCs w:val="24"/>
              </w:rPr>
            </w:pPr>
            <w:r w:rsidRPr="00694F3E">
              <w:rPr>
                <w:sz w:val="24"/>
                <w:szCs w:val="24"/>
              </w:rPr>
              <w:t>73%</w:t>
            </w:r>
          </w:p>
        </w:tc>
      </w:tr>
      <w:tr w:rsidR="000E2E80" w:rsidTr="000E2E80">
        <w:trPr>
          <w:trHeight w:val="665"/>
        </w:trPr>
        <w:tc>
          <w:tcPr>
            <w:tcW w:w="1705" w:type="dxa"/>
            <w:shd w:val="clear" w:color="auto" w:fill="auto"/>
          </w:tcPr>
          <w:p w:rsidR="000E2E80" w:rsidRPr="00694F3E" w:rsidRDefault="000E2E80" w:rsidP="00FC3DEC">
            <w:pPr>
              <w:rPr>
                <w:b/>
                <w:sz w:val="24"/>
                <w:szCs w:val="24"/>
              </w:rPr>
            </w:pPr>
            <w:r w:rsidRPr="00694F3E">
              <w:rPr>
                <w:b/>
                <w:sz w:val="24"/>
                <w:szCs w:val="24"/>
              </w:rPr>
              <w:t>Example 3</w:t>
            </w:r>
          </w:p>
          <w:p w:rsidR="000E2E80" w:rsidRPr="00694F3E" w:rsidRDefault="000E2E80" w:rsidP="00FC3DEC">
            <w:pPr>
              <w:rPr>
                <w:b/>
                <w:sz w:val="24"/>
                <w:szCs w:val="24"/>
              </w:rPr>
            </w:pPr>
          </w:p>
        </w:tc>
        <w:tc>
          <w:tcPr>
            <w:tcW w:w="1350" w:type="dxa"/>
          </w:tcPr>
          <w:p w:rsidR="000E2E80" w:rsidRPr="00694F3E" w:rsidRDefault="000E2E80" w:rsidP="00FC3DEC">
            <w:pPr>
              <w:jc w:val="center"/>
              <w:rPr>
                <w:sz w:val="24"/>
                <w:szCs w:val="24"/>
              </w:rPr>
            </w:pPr>
            <w:r w:rsidRPr="00694F3E">
              <w:rPr>
                <w:sz w:val="24"/>
                <w:szCs w:val="24"/>
              </w:rPr>
              <w:t>70</w:t>
            </w:r>
          </w:p>
        </w:tc>
        <w:tc>
          <w:tcPr>
            <w:tcW w:w="1170" w:type="dxa"/>
          </w:tcPr>
          <w:p w:rsidR="000E2E80" w:rsidRPr="00694F3E" w:rsidRDefault="000E2E80" w:rsidP="00FC3DEC">
            <w:pPr>
              <w:jc w:val="center"/>
              <w:rPr>
                <w:sz w:val="24"/>
                <w:szCs w:val="24"/>
              </w:rPr>
            </w:pPr>
            <w:r w:rsidRPr="00694F3E">
              <w:rPr>
                <w:sz w:val="24"/>
                <w:szCs w:val="24"/>
              </w:rPr>
              <w:t>80</w:t>
            </w:r>
          </w:p>
        </w:tc>
        <w:tc>
          <w:tcPr>
            <w:tcW w:w="1260" w:type="dxa"/>
          </w:tcPr>
          <w:p w:rsidR="000E2E80" w:rsidRPr="00694F3E" w:rsidRDefault="000E2E80" w:rsidP="00FC3DEC">
            <w:pPr>
              <w:jc w:val="center"/>
              <w:rPr>
                <w:sz w:val="24"/>
                <w:szCs w:val="24"/>
              </w:rPr>
            </w:pPr>
            <w:r w:rsidRPr="00694F3E">
              <w:rPr>
                <w:sz w:val="24"/>
                <w:szCs w:val="24"/>
              </w:rPr>
              <w:t>90</w:t>
            </w:r>
          </w:p>
        </w:tc>
        <w:tc>
          <w:tcPr>
            <w:tcW w:w="1890" w:type="dxa"/>
          </w:tcPr>
          <w:p w:rsidR="000E2E80" w:rsidRPr="00694F3E" w:rsidRDefault="000E2E80" w:rsidP="00FC3DEC">
            <w:pPr>
              <w:rPr>
                <w:sz w:val="24"/>
                <w:szCs w:val="24"/>
              </w:rPr>
            </w:pPr>
            <w:r w:rsidRPr="00694F3E">
              <w:rPr>
                <w:noProof/>
                <w:sz w:val="24"/>
                <w:szCs w:val="24"/>
              </w:rPr>
              <mc:AlternateContent>
                <mc:Choice Requires="wps">
                  <w:drawing>
                    <wp:anchor distT="0" distB="0" distL="114300" distR="114300" simplePos="0" relativeHeight="251661312" behindDoc="0" locked="0" layoutInCell="1" allowOverlap="1" wp14:anchorId="47A57255" wp14:editId="31200032">
                      <wp:simplePos x="0" y="0"/>
                      <wp:positionH relativeFrom="column">
                        <wp:posOffset>-36026</wp:posOffset>
                      </wp:positionH>
                      <wp:positionV relativeFrom="paragraph">
                        <wp:posOffset>61748</wp:posOffset>
                      </wp:positionV>
                      <wp:extent cx="231493" cy="69448"/>
                      <wp:effectExtent l="0" t="0" r="35560" b="26035"/>
                      <wp:wrapNone/>
                      <wp:docPr id="4" name="Straight Connector 4"/>
                      <wp:cNvGraphicFramePr/>
                      <a:graphic xmlns:a="http://schemas.openxmlformats.org/drawingml/2006/main">
                        <a:graphicData uri="http://schemas.microsoft.com/office/word/2010/wordprocessingShape">
                          <wps:wsp>
                            <wps:cNvCnPr/>
                            <wps:spPr>
                              <a:xfrm>
                                <a:off x="0" y="0"/>
                                <a:ext cx="231493" cy="69448"/>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FDA38C"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4.85pt" to="15.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" strokecolor="windowText" strokeweight="1.5pt">
                      <v:stroke joinstyle="miter"/>
                    </v:line>
                  </w:pict>
                </mc:Fallback>
              </mc:AlternateContent>
            </w:r>
            <w:r w:rsidRPr="00694F3E">
              <w:rPr>
                <w:noProof/>
                <w:sz w:val="24"/>
                <w:szCs w:val="24"/>
              </w:rPr>
              <mc:AlternateContent>
                <mc:Choice Requires="wps">
                  <w:drawing>
                    <wp:anchor distT="0" distB="0" distL="114300" distR="114300" simplePos="0" relativeHeight="251662336" behindDoc="0" locked="0" layoutInCell="1" allowOverlap="1" wp14:anchorId="33B4456C" wp14:editId="25D8101C">
                      <wp:simplePos x="0" y="0"/>
                      <wp:positionH relativeFrom="column">
                        <wp:posOffset>314960</wp:posOffset>
                      </wp:positionH>
                      <wp:positionV relativeFrom="paragraph">
                        <wp:posOffset>113432</wp:posOffset>
                      </wp:positionV>
                      <wp:extent cx="324091" cy="0"/>
                      <wp:effectExtent l="0" t="76200" r="19050" b="95250"/>
                      <wp:wrapNone/>
                      <wp:docPr id="11" name="Straight Arrow Connector 11"/>
                      <wp:cNvGraphicFramePr/>
                      <a:graphic xmlns:a="http://schemas.openxmlformats.org/drawingml/2006/main">
                        <a:graphicData uri="http://schemas.microsoft.com/office/word/2010/wordprocessingShape">
                          <wps:wsp>
                            <wps:cNvCnPr/>
                            <wps:spPr>
                              <a:xfrm>
                                <a:off x="0" y="0"/>
                                <a:ext cx="324091"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62BF5DB" id="Straight Arrow Connector 11" o:spid="_x0000_s1026" type="#_x0000_t32" style="position:absolute;margin-left:24.8pt;margin-top:8.95pt;width:2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" strokecolor="windowText" strokeweight="1.5pt">
                      <v:stroke endarrow="block" joinstyle="miter"/>
                    </v:shape>
                  </w:pict>
                </mc:Fallback>
              </mc:AlternateContent>
            </w:r>
            <w:r w:rsidRPr="00694F3E">
              <w:rPr>
                <w:sz w:val="24"/>
                <w:szCs w:val="24"/>
              </w:rPr>
              <w:t xml:space="preserve">87             </w:t>
            </w:r>
            <w:r>
              <w:rPr>
                <w:sz w:val="24"/>
                <w:szCs w:val="24"/>
              </w:rPr>
              <w:t xml:space="preserve">   </w:t>
            </w:r>
            <w:r w:rsidRPr="00694F3E">
              <w:rPr>
                <w:sz w:val="24"/>
                <w:szCs w:val="24"/>
              </w:rPr>
              <w:t>90</w:t>
            </w:r>
          </w:p>
        </w:tc>
        <w:tc>
          <w:tcPr>
            <w:tcW w:w="2430" w:type="dxa"/>
          </w:tcPr>
          <w:p w:rsidR="000E2E80" w:rsidRPr="00694F3E" w:rsidRDefault="000E2E80" w:rsidP="00FC3DEC">
            <w:pPr>
              <w:rPr>
                <w:sz w:val="24"/>
                <w:szCs w:val="24"/>
              </w:rPr>
            </w:pPr>
            <w:r w:rsidRPr="00694F3E">
              <w:rPr>
                <w:sz w:val="24"/>
                <w:szCs w:val="24"/>
              </w:rPr>
              <w:t>(70+80+90+90)/4 =</w:t>
            </w:r>
          </w:p>
          <w:p w:rsidR="000E2E80" w:rsidRPr="00694F3E" w:rsidRDefault="000E2E80" w:rsidP="00FC3DEC">
            <w:pPr>
              <w:rPr>
                <w:sz w:val="24"/>
                <w:szCs w:val="24"/>
              </w:rPr>
            </w:pPr>
            <w:r w:rsidRPr="00694F3E">
              <w:rPr>
                <w:sz w:val="24"/>
                <w:szCs w:val="24"/>
              </w:rPr>
              <w:t>83%</w:t>
            </w:r>
          </w:p>
        </w:tc>
      </w:tr>
    </w:tbl>
    <w:p w:rsidR="000E2E80" w:rsidRDefault="000E2E80" w:rsidP="000E2E80">
      <w:pPr>
        <w:spacing w:after="0"/>
        <w:rPr>
          <w:sz w:val="28"/>
          <w:szCs w:val="28"/>
        </w:rPr>
      </w:pPr>
    </w:p>
    <w:p w:rsidR="000E2E80" w:rsidRPr="00D434DE" w:rsidRDefault="000E2E80" w:rsidP="000E2E80">
      <w:pPr>
        <w:spacing w:after="0"/>
        <w:rPr>
          <w:sz w:val="24"/>
          <w:szCs w:val="24"/>
        </w:rPr>
      </w:pPr>
      <w:r>
        <w:rPr>
          <w:sz w:val="24"/>
          <w:szCs w:val="24"/>
        </w:rPr>
        <w:t>Grade 3-8</w:t>
      </w:r>
      <w:r w:rsidRPr="00D434DE">
        <w:rPr>
          <w:sz w:val="24"/>
          <w:szCs w:val="24"/>
        </w:rPr>
        <w:t xml:space="preserve"> STAAR </w:t>
      </w:r>
      <w:proofErr w:type="gramStart"/>
      <w:r w:rsidRPr="00D434DE">
        <w:rPr>
          <w:sz w:val="24"/>
          <w:szCs w:val="24"/>
        </w:rPr>
        <w:t>will not be given</w:t>
      </w:r>
      <w:proofErr w:type="gramEnd"/>
      <w:r w:rsidRPr="00D434DE">
        <w:rPr>
          <w:sz w:val="24"/>
          <w:szCs w:val="24"/>
        </w:rPr>
        <w:t xml:space="preserve"> in May of 2020.</w:t>
      </w:r>
    </w:p>
    <w:p w:rsidR="000E2E80" w:rsidRPr="00D434DE" w:rsidRDefault="000E2E80" w:rsidP="000E2E80">
      <w:pPr>
        <w:spacing w:after="0"/>
        <w:rPr>
          <w:b/>
          <w:sz w:val="24"/>
          <w:szCs w:val="24"/>
        </w:rPr>
      </w:pPr>
    </w:p>
    <w:p w:rsidR="000E2E80" w:rsidRPr="00D434DE" w:rsidRDefault="000E2E80" w:rsidP="000E2E80">
      <w:pPr>
        <w:spacing w:after="0"/>
        <w:rPr>
          <w:b/>
          <w:sz w:val="24"/>
          <w:szCs w:val="24"/>
        </w:rPr>
      </w:pPr>
      <w:r w:rsidRPr="00D434DE">
        <w:rPr>
          <w:b/>
          <w:sz w:val="24"/>
          <w:szCs w:val="24"/>
        </w:rPr>
        <w:t xml:space="preserve">High School </w:t>
      </w:r>
    </w:p>
    <w:p w:rsidR="000E2E80" w:rsidRPr="00D434DE" w:rsidRDefault="000E2E80" w:rsidP="000E2E80">
      <w:pPr>
        <w:spacing w:after="0"/>
        <w:rPr>
          <w:b/>
          <w:sz w:val="24"/>
          <w:szCs w:val="24"/>
        </w:rPr>
      </w:pPr>
    </w:p>
    <w:p w:rsidR="000E2E80" w:rsidRPr="00D434DE" w:rsidRDefault="000E2E80" w:rsidP="000E2E80">
      <w:pPr>
        <w:spacing w:after="0"/>
        <w:rPr>
          <w:sz w:val="24"/>
          <w:szCs w:val="24"/>
        </w:rPr>
      </w:pPr>
      <w:r w:rsidRPr="00D434DE">
        <w:rPr>
          <w:sz w:val="24"/>
          <w:szCs w:val="24"/>
        </w:rPr>
        <w:t xml:space="preserve">Teachers will assign student work through Canvas.  Assignments will be graded and entered into Skyward.  Students </w:t>
      </w:r>
      <w:proofErr w:type="gramStart"/>
      <w:r w:rsidRPr="00D434DE">
        <w:rPr>
          <w:sz w:val="24"/>
          <w:szCs w:val="24"/>
        </w:rPr>
        <w:t>will be assessed</w:t>
      </w:r>
      <w:proofErr w:type="gramEnd"/>
      <w:r w:rsidRPr="00D434DE">
        <w:rPr>
          <w:sz w:val="24"/>
          <w:szCs w:val="24"/>
        </w:rPr>
        <w:t xml:space="preserve"> on participation and the quality of the work submitted.  Grades in the </w:t>
      </w:r>
      <w:proofErr w:type="gramStart"/>
      <w:r w:rsidRPr="00D434DE">
        <w:rPr>
          <w:sz w:val="24"/>
          <w:szCs w:val="24"/>
        </w:rPr>
        <w:t>4</w:t>
      </w:r>
      <w:r w:rsidRPr="00D434DE">
        <w:rPr>
          <w:sz w:val="24"/>
          <w:szCs w:val="24"/>
          <w:vertAlign w:val="superscript"/>
        </w:rPr>
        <w:t>th</w:t>
      </w:r>
      <w:proofErr w:type="gramEnd"/>
      <w:r w:rsidRPr="00D434DE">
        <w:rPr>
          <w:sz w:val="24"/>
          <w:szCs w:val="24"/>
        </w:rPr>
        <w:t xml:space="preserve"> nine-week grading period will not negatively impact student averages.  The spring 2020 semester average will be determined by the </w:t>
      </w:r>
      <w:proofErr w:type="gramStart"/>
      <w:r w:rsidRPr="00D434DE">
        <w:rPr>
          <w:sz w:val="24"/>
          <w:szCs w:val="24"/>
        </w:rPr>
        <w:t>3</w:t>
      </w:r>
      <w:r w:rsidRPr="00D434DE">
        <w:rPr>
          <w:sz w:val="24"/>
          <w:szCs w:val="24"/>
          <w:vertAlign w:val="superscript"/>
        </w:rPr>
        <w:t>rd</w:t>
      </w:r>
      <w:proofErr w:type="gramEnd"/>
      <w:r w:rsidRPr="00D434DE">
        <w:rPr>
          <w:sz w:val="24"/>
          <w:szCs w:val="24"/>
        </w:rPr>
        <w:t xml:space="preserve"> nine-week grade and the </w:t>
      </w:r>
      <w:r w:rsidRPr="00D434DE">
        <w:rPr>
          <w:b/>
          <w:i/>
          <w:sz w:val="24"/>
          <w:szCs w:val="24"/>
        </w:rPr>
        <w:t>higher</w:t>
      </w:r>
      <w:r w:rsidRPr="00D434DE">
        <w:rPr>
          <w:sz w:val="24"/>
          <w:szCs w:val="24"/>
        </w:rPr>
        <w:t xml:space="preserve"> of the 3</w:t>
      </w:r>
      <w:r w:rsidRPr="00D434DE">
        <w:rPr>
          <w:sz w:val="24"/>
          <w:szCs w:val="24"/>
          <w:vertAlign w:val="superscript"/>
        </w:rPr>
        <w:t>rd</w:t>
      </w:r>
      <w:r w:rsidRPr="00D434DE">
        <w:rPr>
          <w:sz w:val="24"/>
          <w:szCs w:val="24"/>
        </w:rPr>
        <w:t xml:space="preserve"> or 4</w:t>
      </w:r>
      <w:r w:rsidRPr="00D434DE">
        <w:rPr>
          <w:sz w:val="24"/>
          <w:szCs w:val="24"/>
          <w:vertAlign w:val="superscript"/>
        </w:rPr>
        <w:t>th</w:t>
      </w:r>
      <w:r w:rsidRPr="00D434DE">
        <w:rPr>
          <w:sz w:val="24"/>
          <w:szCs w:val="24"/>
        </w:rPr>
        <w:t xml:space="preserve"> nine-week grade.  If the </w:t>
      </w:r>
      <w:proofErr w:type="gramStart"/>
      <w:r w:rsidRPr="00D434DE">
        <w:rPr>
          <w:sz w:val="24"/>
          <w:szCs w:val="24"/>
        </w:rPr>
        <w:t>3</w:t>
      </w:r>
      <w:r w:rsidRPr="00D434DE">
        <w:rPr>
          <w:sz w:val="24"/>
          <w:szCs w:val="24"/>
          <w:vertAlign w:val="superscript"/>
        </w:rPr>
        <w:t>rd</w:t>
      </w:r>
      <w:proofErr w:type="gramEnd"/>
      <w:r w:rsidRPr="00D434DE">
        <w:rPr>
          <w:sz w:val="24"/>
          <w:szCs w:val="24"/>
        </w:rPr>
        <w:t xml:space="preserve"> nine-week grade is higher than the 4</w:t>
      </w:r>
      <w:r w:rsidRPr="00D434DE">
        <w:rPr>
          <w:sz w:val="24"/>
          <w:szCs w:val="24"/>
          <w:vertAlign w:val="superscript"/>
        </w:rPr>
        <w:t>th</w:t>
      </w:r>
      <w:r w:rsidRPr="00D434DE">
        <w:rPr>
          <w:sz w:val="24"/>
          <w:szCs w:val="24"/>
        </w:rPr>
        <w:t xml:space="preserve"> nine-week grade, the 3</w:t>
      </w:r>
      <w:r w:rsidRPr="00D434DE">
        <w:rPr>
          <w:sz w:val="24"/>
          <w:szCs w:val="24"/>
          <w:vertAlign w:val="superscript"/>
        </w:rPr>
        <w:t>rd</w:t>
      </w:r>
      <w:r w:rsidRPr="00D434DE">
        <w:rPr>
          <w:sz w:val="24"/>
          <w:szCs w:val="24"/>
        </w:rPr>
        <w:t xml:space="preserve"> nine-week grade will be counted twice in the </w:t>
      </w:r>
      <w:r>
        <w:rPr>
          <w:sz w:val="24"/>
          <w:szCs w:val="24"/>
        </w:rPr>
        <w:t>semester</w:t>
      </w:r>
      <w:r w:rsidRPr="00D434DE">
        <w:rPr>
          <w:sz w:val="24"/>
          <w:szCs w:val="24"/>
        </w:rPr>
        <w:t xml:space="preserve"> average.</w:t>
      </w:r>
    </w:p>
    <w:p w:rsidR="000E2E80" w:rsidRPr="00D434DE" w:rsidRDefault="000E2E80" w:rsidP="000E2E80">
      <w:pPr>
        <w:spacing w:after="0"/>
        <w:rPr>
          <w:sz w:val="24"/>
          <w:szCs w:val="24"/>
        </w:rPr>
      </w:pPr>
    </w:p>
    <w:p w:rsidR="000E2E80" w:rsidRPr="00767794" w:rsidRDefault="000E2E80" w:rsidP="000E2E80">
      <w:pPr>
        <w:spacing w:after="0"/>
        <w:jc w:val="center"/>
        <w:rPr>
          <w:b/>
          <w:sz w:val="28"/>
          <w:szCs w:val="28"/>
        </w:rPr>
      </w:pPr>
      <w:r w:rsidRPr="00767794">
        <w:rPr>
          <w:b/>
          <w:sz w:val="28"/>
          <w:szCs w:val="28"/>
        </w:rPr>
        <w:t>Fourth Nine-Week Averaging Examples</w:t>
      </w:r>
    </w:p>
    <w:tbl>
      <w:tblPr>
        <w:tblStyle w:val="TableGrid"/>
        <w:tblW w:w="9990" w:type="dxa"/>
        <w:tblInd w:w="-185" w:type="dxa"/>
        <w:tblLook w:val="04A0" w:firstRow="1" w:lastRow="0" w:firstColumn="1" w:lastColumn="0" w:noHBand="0" w:noVBand="1"/>
      </w:tblPr>
      <w:tblGrid>
        <w:gridCol w:w="2340"/>
        <w:gridCol w:w="1530"/>
        <w:gridCol w:w="1530"/>
        <w:gridCol w:w="4590"/>
      </w:tblGrid>
      <w:tr w:rsidR="000E2E80" w:rsidTr="000E2E80">
        <w:trPr>
          <w:trHeight w:val="684"/>
        </w:trPr>
        <w:tc>
          <w:tcPr>
            <w:tcW w:w="2340" w:type="dxa"/>
            <w:tcBorders>
              <w:bottom w:val="single" w:sz="4" w:space="0" w:color="auto"/>
            </w:tcBorders>
            <w:shd w:val="clear" w:color="auto" w:fill="FF9933"/>
          </w:tcPr>
          <w:p w:rsidR="000E2E80" w:rsidRPr="00524452" w:rsidRDefault="000E2E80" w:rsidP="00FC3DEC">
            <w:pPr>
              <w:jc w:val="center"/>
              <w:rPr>
                <w:b/>
                <w:sz w:val="28"/>
                <w:szCs w:val="28"/>
              </w:rPr>
            </w:pPr>
          </w:p>
        </w:tc>
        <w:tc>
          <w:tcPr>
            <w:tcW w:w="1530" w:type="dxa"/>
            <w:shd w:val="clear" w:color="auto" w:fill="FF9933"/>
          </w:tcPr>
          <w:p w:rsidR="000E2E80" w:rsidRPr="00524452" w:rsidRDefault="000E2E80" w:rsidP="00FC3DEC">
            <w:pPr>
              <w:jc w:val="center"/>
              <w:rPr>
                <w:b/>
                <w:sz w:val="28"/>
                <w:szCs w:val="28"/>
              </w:rPr>
            </w:pPr>
            <w:r w:rsidRPr="00524452">
              <w:rPr>
                <w:b/>
                <w:sz w:val="28"/>
                <w:szCs w:val="28"/>
              </w:rPr>
              <w:t>3</w:t>
            </w:r>
            <w:r w:rsidRPr="00524452">
              <w:rPr>
                <w:b/>
                <w:sz w:val="28"/>
                <w:szCs w:val="28"/>
                <w:vertAlign w:val="superscript"/>
              </w:rPr>
              <w:t>rd</w:t>
            </w:r>
            <w:r w:rsidRPr="00524452">
              <w:rPr>
                <w:b/>
                <w:sz w:val="28"/>
                <w:szCs w:val="28"/>
              </w:rPr>
              <w:t xml:space="preserve"> 9 weeks grade</w:t>
            </w:r>
          </w:p>
        </w:tc>
        <w:tc>
          <w:tcPr>
            <w:tcW w:w="1530" w:type="dxa"/>
            <w:shd w:val="clear" w:color="auto" w:fill="FF9933"/>
          </w:tcPr>
          <w:p w:rsidR="000E2E80" w:rsidRPr="00524452" w:rsidRDefault="000E2E80" w:rsidP="00FC3DEC">
            <w:pPr>
              <w:jc w:val="center"/>
              <w:rPr>
                <w:b/>
                <w:sz w:val="28"/>
                <w:szCs w:val="28"/>
              </w:rPr>
            </w:pPr>
            <w:r w:rsidRPr="00524452">
              <w:rPr>
                <w:b/>
                <w:sz w:val="28"/>
                <w:szCs w:val="28"/>
              </w:rPr>
              <w:t>4</w:t>
            </w:r>
            <w:r w:rsidRPr="00524452">
              <w:rPr>
                <w:b/>
                <w:sz w:val="28"/>
                <w:szCs w:val="28"/>
                <w:vertAlign w:val="superscript"/>
              </w:rPr>
              <w:t>th</w:t>
            </w:r>
            <w:r w:rsidRPr="00524452">
              <w:rPr>
                <w:b/>
                <w:sz w:val="28"/>
                <w:szCs w:val="28"/>
              </w:rPr>
              <w:t xml:space="preserve"> 9 weeks grade</w:t>
            </w:r>
          </w:p>
        </w:tc>
        <w:tc>
          <w:tcPr>
            <w:tcW w:w="4590" w:type="dxa"/>
            <w:shd w:val="clear" w:color="auto" w:fill="FF9933"/>
          </w:tcPr>
          <w:p w:rsidR="000E2E80" w:rsidRPr="00524452" w:rsidRDefault="000E2E80" w:rsidP="00FC3DEC">
            <w:pPr>
              <w:jc w:val="center"/>
              <w:rPr>
                <w:b/>
                <w:sz w:val="28"/>
                <w:szCs w:val="28"/>
              </w:rPr>
            </w:pPr>
            <w:r w:rsidRPr="00524452">
              <w:rPr>
                <w:b/>
                <w:sz w:val="28"/>
                <w:szCs w:val="28"/>
              </w:rPr>
              <w:t>Semester Grade</w:t>
            </w:r>
          </w:p>
        </w:tc>
      </w:tr>
      <w:tr w:rsidR="000E2E80" w:rsidTr="000E2E80">
        <w:trPr>
          <w:trHeight w:val="684"/>
        </w:trPr>
        <w:tc>
          <w:tcPr>
            <w:tcW w:w="2340" w:type="dxa"/>
            <w:shd w:val="clear" w:color="auto" w:fill="auto"/>
          </w:tcPr>
          <w:p w:rsidR="000E2E80" w:rsidRPr="00524452" w:rsidRDefault="000E2E80" w:rsidP="00FC3DEC">
            <w:pPr>
              <w:rPr>
                <w:b/>
                <w:sz w:val="24"/>
                <w:szCs w:val="24"/>
              </w:rPr>
            </w:pPr>
            <w:r w:rsidRPr="00524452">
              <w:rPr>
                <w:b/>
                <w:sz w:val="24"/>
                <w:szCs w:val="24"/>
              </w:rPr>
              <w:t>Example 1</w:t>
            </w:r>
          </w:p>
          <w:p w:rsidR="000E2E80" w:rsidRPr="00524452" w:rsidRDefault="000E2E80" w:rsidP="00FC3DEC">
            <w:pPr>
              <w:rPr>
                <w:b/>
                <w:sz w:val="20"/>
                <w:szCs w:val="20"/>
              </w:rPr>
            </w:pPr>
            <w:r w:rsidRPr="00524452">
              <w:rPr>
                <w:b/>
                <w:sz w:val="20"/>
                <w:szCs w:val="20"/>
              </w:rPr>
              <w:t>Does better in 4</w:t>
            </w:r>
            <w:r w:rsidRPr="00524452">
              <w:rPr>
                <w:b/>
                <w:sz w:val="20"/>
                <w:szCs w:val="20"/>
                <w:vertAlign w:val="superscript"/>
              </w:rPr>
              <w:t>th</w:t>
            </w:r>
            <w:r w:rsidRPr="00524452">
              <w:rPr>
                <w:b/>
                <w:sz w:val="20"/>
                <w:szCs w:val="20"/>
              </w:rPr>
              <w:t xml:space="preserve"> 9 weeks</w:t>
            </w:r>
          </w:p>
        </w:tc>
        <w:tc>
          <w:tcPr>
            <w:tcW w:w="1530" w:type="dxa"/>
          </w:tcPr>
          <w:p w:rsidR="000E2E80" w:rsidRPr="00D5152E" w:rsidRDefault="000E2E80" w:rsidP="00FC3DEC">
            <w:pPr>
              <w:rPr>
                <w:sz w:val="24"/>
                <w:szCs w:val="24"/>
              </w:rPr>
            </w:pPr>
            <w:r w:rsidRPr="00D5152E">
              <w:rPr>
                <w:sz w:val="24"/>
                <w:szCs w:val="24"/>
              </w:rPr>
              <w:t>80</w:t>
            </w:r>
          </w:p>
        </w:tc>
        <w:tc>
          <w:tcPr>
            <w:tcW w:w="1530" w:type="dxa"/>
          </w:tcPr>
          <w:p w:rsidR="000E2E80" w:rsidRPr="00D5152E" w:rsidRDefault="000E2E80" w:rsidP="00FC3DEC">
            <w:pPr>
              <w:rPr>
                <w:sz w:val="24"/>
                <w:szCs w:val="24"/>
              </w:rPr>
            </w:pPr>
            <w:r w:rsidRPr="00D5152E">
              <w:rPr>
                <w:sz w:val="24"/>
                <w:szCs w:val="24"/>
              </w:rPr>
              <w:t>90</w:t>
            </w:r>
          </w:p>
        </w:tc>
        <w:tc>
          <w:tcPr>
            <w:tcW w:w="4590" w:type="dxa"/>
          </w:tcPr>
          <w:p w:rsidR="000E2E80" w:rsidRPr="00D5152E" w:rsidRDefault="000E2E80" w:rsidP="00FC3DEC">
            <w:pPr>
              <w:rPr>
                <w:sz w:val="24"/>
                <w:szCs w:val="24"/>
              </w:rPr>
            </w:pPr>
            <w:r w:rsidRPr="00D5152E">
              <w:rPr>
                <w:sz w:val="24"/>
                <w:szCs w:val="24"/>
              </w:rPr>
              <w:t>(80+90)/2 = 85% Final Semester Grade</w:t>
            </w:r>
          </w:p>
          <w:p w:rsidR="000E2E80" w:rsidRPr="00D5152E" w:rsidRDefault="000E2E80" w:rsidP="00FC3DEC">
            <w:pPr>
              <w:rPr>
                <w:sz w:val="24"/>
                <w:szCs w:val="24"/>
              </w:rPr>
            </w:pPr>
          </w:p>
        </w:tc>
      </w:tr>
      <w:tr w:rsidR="000E2E80" w:rsidTr="000E2E80">
        <w:trPr>
          <w:trHeight w:val="684"/>
        </w:trPr>
        <w:tc>
          <w:tcPr>
            <w:tcW w:w="2340" w:type="dxa"/>
            <w:shd w:val="clear" w:color="auto" w:fill="auto"/>
          </w:tcPr>
          <w:p w:rsidR="000E2E80" w:rsidRPr="00524452" w:rsidRDefault="000E2E80" w:rsidP="00FC3DEC">
            <w:pPr>
              <w:rPr>
                <w:b/>
                <w:sz w:val="24"/>
                <w:szCs w:val="24"/>
              </w:rPr>
            </w:pPr>
            <w:r w:rsidRPr="00524452">
              <w:rPr>
                <w:b/>
                <w:sz w:val="24"/>
                <w:szCs w:val="24"/>
              </w:rPr>
              <w:t>Example 2</w:t>
            </w:r>
          </w:p>
          <w:p w:rsidR="000E2E80" w:rsidRPr="00524452" w:rsidRDefault="000E2E80" w:rsidP="00FC3DEC">
            <w:pPr>
              <w:rPr>
                <w:b/>
                <w:sz w:val="20"/>
                <w:szCs w:val="20"/>
              </w:rPr>
            </w:pPr>
            <w:r w:rsidRPr="00524452">
              <w:rPr>
                <w:b/>
                <w:sz w:val="20"/>
                <w:szCs w:val="20"/>
              </w:rPr>
              <w:t>Does better in 3</w:t>
            </w:r>
            <w:r w:rsidRPr="00524452">
              <w:rPr>
                <w:b/>
                <w:sz w:val="20"/>
                <w:szCs w:val="20"/>
                <w:vertAlign w:val="superscript"/>
              </w:rPr>
              <w:t>rd</w:t>
            </w:r>
            <w:r w:rsidRPr="00524452">
              <w:rPr>
                <w:b/>
                <w:sz w:val="20"/>
                <w:szCs w:val="20"/>
              </w:rPr>
              <w:t xml:space="preserve"> 9 weeks</w:t>
            </w:r>
          </w:p>
        </w:tc>
        <w:tc>
          <w:tcPr>
            <w:tcW w:w="1530" w:type="dxa"/>
          </w:tcPr>
          <w:p w:rsidR="000E2E80" w:rsidRPr="00D5152E" w:rsidRDefault="000E2E80" w:rsidP="00FC3DEC">
            <w:pPr>
              <w:rPr>
                <w:sz w:val="24"/>
                <w:szCs w:val="24"/>
              </w:rPr>
            </w:pPr>
            <w:r w:rsidRPr="00D5152E">
              <w:rPr>
                <w:sz w:val="24"/>
                <w:szCs w:val="24"/>
              </w:rPr>
              <w:t>90</w:t>
            </w:r>
          </w:p>
        </w:tc>
        <w:tc>
          <w:tcPr>
            <w:tcW w:w="1530" w:type="dxa"/>
          </w:tcPr>
          <w:p w:rsidR="000E2E80" w:rsidRPr="00D5152E" w:rsidRDefault="000E2E80" w:rsidP="00FC3DEC">
            <w:pPr>
              <w:rPr>
                <w:sz w:val="24"/>
                <w:szCs w:val="24"/>
              </w:rPr>
            </w:pPr>
            <w:r w:rsidRPr="00D5152E">
              <w:rPr>
                <w:sz w:val="24"/>
                <w:szCs w:val="24"/>
              </w:rPr>
              <w:t>70</w:t>
            </w:r>
          </w:p>
        </w:tc>
        <w:tc>
          <w:tcPr>
            <w:tcW w:w="4590" w:type="dxa"/>
          </w:tcPr>
          <w:p w:rsidR="000E2E80" w:rsidRPr="00D5152E" w:rsidRDefault="000E2E80" w:rsidP="00FC3DEC">
            <w:pPr>
              <w:rPr>
                <w:sz w:val="24"/>
                <w:szCs w:val="24"/>
              </w:rPr>
            </w:pPr>
            <w:r w:rsidRPr="00D5152E">
              <w:rPr>
                <w:sz w:val="24"/>
                <w:szCs w:val="24"/>
              </w:rPr>
              <w:t>(90+90)/2 = 90% Final Semester Grade</w:t>
            </w:r>
          </w:p>
          <w:p w:rsidR="000E2E80" w:rsidRPr="00D5152E" w:rsidRDefault="000E2E80" w:rsidP="00FC3DEC">
            <w:pPr>
              <w:rPr>
                <w:sz w:val="24"/>
                <w:szCs w:val="24"/>
              </w:rPr>
            </w:pPr>
            <w:r w:rsidRPr="00D5152E">
              <w:rPr>
                <w:sz w:val="24"/>
                <w:szCs w:val="24"/>
              </w:rPr>
              <w:t>(4</w:t>
            </w:r>
            <w:r w:rsidRPr="00D5152E">
              <w:rPr>
                <w:sz w:val="24"/>
                <w:szCs w:val="24"/>
                <w:vertAlign w:val="superscript"/>
              </w:rPr>
              <w:t>th</w:t>
            </w:r>
            <w:r w:rsidRPr="00D5152E">
              <w:rPr>
                <w:sz w:val="24"/>
                <w:szCs w:val="24"/>
              </w:rPr>
              <w:t xml:space="preserve"> 9 </w:t>
            </w:r>
            <w:proofErr w:type="spellStart"/>
            <w:r w:rsidRPr="00D5152E">
              <w:rPr>
                <w:sz w:val="24"/>
                <w:szCs w:val="24"/>
              </w:rPr>
              <w:t>wks</w:t>
            </w:r>
            <w:proofErr w:type="spellEnd"/>
            <w:r w:rsidRPr="00D5152E">
              <w:rPr>
                <w:sz w:val="24"/>
                <w:szCs w:val="24"/>
              </w:rPr>
              <w:t xml:space="preserve"> not used in calculation)</w:t>
            </w:r>
          </w:p>
        </w:tc>
      </w:tr>
      <w:tr w:rsidR="000E2E80" w:rsidTr="000E2E80">
        <w:trPr>
          <w:trHeight w:val="684"/>
        </w:trPr>
        <w:tc>
          <w:tcPr>
            <w:tcW w:w="2340" w:type="dxa"/>
            <w:shd w:val="clear" w:color="auto" w:fill="auto"/>
          </w:tcPr>
          <w:p w:rsidR="000E2E80" w:rsidRPr="00524452" w:rsidRDefault="000E2E80" w:rsidP="00FC3DEC">
            <w:pPr>
              <w:rPr>
                <w:b/>
                <w:sz w:val="24"/>
                <w:szCs w:val="24"/>
              </w:rPr>
            </w:pPr>
            <w:r w:rsidRPr="00524452">
              <w:rPr>
                <w:b/>
                <w:sz w:val="24"/>
                <w:szCs w:val="24"/>
              </w:rPr>
              <w:t xml:space="preserve">Example 3 </w:t>
            </w:r>
          </w:p>
          <w:p w:rsidR="000E2E80" w:rsidRPr="00524452" w:rsidRDefault="000E2E80" w:rsidP="00FC3DEC">
            <w:pPr>
              <w:rPr>
                <w:b/>
                <w:sz w:val="20"/>
                <w:szCs w:val="20"/>
              </w:rPr>
            </w:pPr>
            <w:r w:rsidRPr="00524452">
              <w:rPr>
                <w:b/>
                <w:sz w:val="20"/>
                <w:szCs w:val="20"/>
              </w:rPr>
              <w:t>Fails 4</w:t>
            </w:r>
            <w:r w:rsidRPr="00524452">
              <w:rPr>
                <w:b/>
                <w:sz w:val="20"/>
                <w:szCs w:val="20"/>
                <w:vertAlign w:val="superscript"/>
              </w:rPr>
              <w:t>th</w:t>
            </w:r>
            <w:r w:rsidRPr="00524452">
              <w:rPr>
                <w:b/>
                <w:sz w:val="20"/>
                <w:szCs w:val="20"/>
              </w:rPr>
              <w:t xml:space="preserve"> 9 weeks</w:t>
            </w:r>
          </w:p>
        </w:tc>
        <w:tc>
          <w:tcPr>
            <w:tcW w:w="1530" w:type="dxa"/>
          </w:tcPr>
          <w:p w:rsidR="000E2E80" w:rsidRPr="00D5152E" w:rsidRDefault="000E2E80" w:rsidP="00FC3DEC">
            <w:pPr>
              <w:rPr>
                <w:sz w:val="24"/>
                <w:szCs w:val="24"/>
              </w:rPr>
            </w:pPr>
            <w:r w:rsidRPr="00D5152E">
              <w:rPr>
                <w:sz w:val="24"/>
                <w:szCs w:val="24"/>
              </w:rPr>
              <w:t>80</w:t>
            </w:r>
          </w:p>
        </w:tc>
        <w:tc>
          <w:tcPr>
            <w:tcW w:w="1530" w:type="dxa"/>
          </w:tcPr>
          <w:p w:rsidR="000E2E80" w:rsidRPr="00D5152E" w:rsidRDefault="000E2E80" w:rsidP="00FC3DEC">
            <w:pPr>
              <w:rPr>
                <w:sz w:val="24"/>
                <w:szCs w:val="24"/>
              </w:rPr>
            </w:pPr>
            <w:r w:rsidRPr="00D5152E">
              <w:rPr>
                <w:sz w:val="24"/>
                <w:szCs w:val="24"/>
              </w:rPr>
              <w:t>60</w:t>
            </w:r>
          </w:p>
        </w:tc>
        <w:tc>
          <w:tcPr>
            <w:tcW w:w="4590" w:type="dxa"/>
          </w:tcPr>
          <w:p w:rsidR="000E2E80" w:rsidRPr="00D5152E" w:rsidRDefault="000E2E80" w:rsidP="00FC3DEC">
            <w:pPr>
              <w:rPr>
                <w:sz w:val="24"/>
                <w:szCs w:val="24"/>
              </w:rPr>
            </w:pPr>
            <w:r w:rsidRPr="00D5152E">
              <w:rPr>
                <w:sz w:val="24"/>
                <w:szCs w:val="24"/>
              </w:rPr>
              <w:t>(80+80)/2 = 80% Final Semester Grade</w:t>
            </w:r>
          </w:p>
          <w:p w:rsidR="000E2E80" w:rsidRPr="00D5152E" w:rsidRDefault="000E2E80" w:rsidP="00FC3DEC">
            <w:pPr>
              <w:rPr>
                <w:sz w:val="24"/>
                <w:szCs w:val="24"/>
              </w:rPr>
            </w:pPr>
            <w:r w:rsidRPr="00D5152E">
              <w:rPr>
                <w:sz w:val="24"/>
                <w:szCs w:val="24"/>
              </w:rPr>
              <w:t>(4</w:t>
            </w:r>
            <w:r w:rsidRPr="00D5152E">
              <w:rPr>
                <w:sz w:val="24"/>
                <w:szCs w:val="24"/>
                <w:vertAlign w:val="superscript"/>
              </w:rPr>
              <w:t>th</w:t>
            </w:r>
            <w:r w:rsidRPr="00D5152E">
              <w:rPr>
                <w:sz w:val="24"/>
                <w:szCs w:val="24"/>
              </w:rPr>
              <w:t xml:space="preserve"> 9 </w:t>
            </w:r>
            <w:proofErr w:type="spellStart"/>
            <w:r w:rsidRPr="00D5152E">
              <w:rPr>
                <w:sz w:val="24"/>
                <w:szCs w:val="24"/>
              </w:rPr>
              <w:t>wks</w:t>
            </w:r>
            <w:proofErr w:type="spellEnd"/>
            <w:r w:rsidRPr="00D5152E">
              <w:rPr>
                <w:sz w:val="24"/>
                <w:szCs w:val="24"/>
              </w:rPr>
              <w:t xml:space="preserve"> not used in calculation)</w:t>
            </w:r>
          </w:p>
        </w:tc>
      </w:tr>
      <w:tr w:rsidR="000E2E80" w:rsidTr="000E2E80">
        <w:trPr>
          <w:trHeight w:val="684"/>
        </w:trPr>
        <w:tc>
          <w:tcPr>
            <w:tcW w:w="2340" w:type="dxa"/>
            <w:shd w:val="clear" w:color="auto" w:fill="auto"/>
          </w:tcPr>
          <w:p w:rsidR="000E2E80" w:rsidRPr="00524452" w:rsidRDefault="000E2E80" w:rsidP="00FC3DEC">
            <w:pPr>
              <w:rPr>
                <w:b/>
                <w:sz w:val="24"/>
                <w:szCs w:val="24"/>
              </w:rPr>
            </w:pPr>
            <w:r w:rsidRPr="00524452">
              <w:rPr>
                <w:b/>
                <w:sz w:val="24"/>
                <w:szCs w:val="24"/>
              </w:rPr>
              <w:t>Example 4</w:t>
            </w:r>
          </w:p>
          <w:p w:rsidR="000E2E80" w:rsidRPr="00524452" w:rsidRDefault="000E2E80" w:rsidP="00FC3DEC">
            <w:pPr>
              <w:rPr>
                <w:b/>
                <w:sz w:val="20"/>
                <w:szCs w:val="20"/>
              </w:rPr>
            </w:pPr>
            <w:r w:rsidRPr="00524452">
              <w:rPr>
                <w:b/>
                <w:sz w:val="20"/>
                <w:szCs w:val="20"/>
              </w:rPr>
              <w:t>Failed 3</w:t>
            </w:r>
            <w:r w:rsidRPr="00524452">
              <w:rPr>
                <w:b/>
                <w:sz w:val="20"/>
                <w:szCs w:val="20"/>
                <w:vertAlign w:val="superscript"/>
              </w:rPr>
              <w:t>rd</w:t>
            </w:r>
            <w:r w:rsidRPr="00524452">
              <w:rPr>
                <w:b/>
                <w:sz w:val="20"/>
                <w:szCs w:val="20"/>
              </w:rPr>
              <w:t xml:space="preserve"> &amp; 4</w:t>
            </w:r>
            <w:r w:rsidRPr="00524452">
              <w:rPr>
                <w:b/>
                <w:sz w:val="20"/>
                <w:szCs w:val="20"/>
                <w:vertAlign w:val="superscript"/>
              </w:rPr>
              <w:t>th</w:t>
            </w:r>
            <w:r w:rsidRPr="00524452">
              <w:rPr>
                <w:b/>
                <w:sz w:val="20"/>
                <w:szCs w:val="20"/>
              </w:rPr>
              <w:t xml:space="preserve"> 9 weeks</w:t>
            </w:r>
          </w:p>
        </w:tc>
        <w:tc>
          <w:tcPr>
            <w:tcW w:w="1530" w:type="dxa"/>
          </w:tcPr>
          <w:p w:rsidR="000E2E80" w:rsidRPr="00D5152E" w:rsidRDefault="000E2E80" w:rsidP="00FC3DEC">
            <w:pPr>
              <w:rPr>
                <w:sz w:val="24"/>
                <w:szCs w:val="24"/>
              </w:rPr>
            </w:pPr>
            <w:r>
              <w:rPr>
                <w:sz w:val="24"/>
                <w:szCs w:val="24"/>
              </w:rPr>
              <w:t>60</w:t>
            </w:r>
          </w:p>
        </w:tc>
        <w:tc>
          <w:tcPr>
            <w:tcW w:w="1530" w:type="dxa"/>
          </w:tcPr>
          <w:p w:rsidR="000E2E80" w:rsidRPr="00D5152E" w:rsidRDefault="000E2E80" w:rsidP="00FC3DEC">
            <w:pPr>
              <w:rPr>
                <w:sz w:val="24"/>
                <w:szCs w:val="24"/>
              </w:rPr>
            </w:pPr>
            <w:r>
              <w:rPr>
                <w:sz w:val="24"/>
                <w:szCs w:val="24"/>
              </w:rPr>
              <w:t>50</w:t>
            </w:r>
          </w:p>
        </w:tc>
        <w:tc>
          <w:tcPr>
            <w:tcW w:w="4590" w:type="dxa"/>
          </w:tcPr>
          <w:p w:rsidR="000E2E80" w:rsidRPr="00D5152E" w:rsidRDefault="000E2E80" w:rsidP="00FC3DEC">
            <w:pPr>
              <w:rPr>
                <w:sz w:val="24"/>
                <w:szCs w:val="24"/>
              </w:rPr>
            </w:pPr>
            <w:r>
              <w:rPr>
                <w:sz w:val="24"/>
                <w:szCs w:val="24"/>
              </w:rPr>
              <w:t>Student does not earn credit for the spring semester</w:t>
            </w:r>
          </w:p>
        </w:tc>
      </w:tr>
      <w:tr w:rsidR="000E2E80" w:rsidTr="000E2E80">
        <w:trPr>
          <w:trHeight w:val="684"/>
        </w:trPr>
        <w:tc>
          <w:tcPr>
            <w:tcW w:w="2340" w:type="dxa"/>
            <w:shd w:val="clear" w:color="auto" w:fill="auto"/>
          </w:tcPr>
          <w:p w:rsidR="000E2E80" w:rsidRPr="00F36839" w:rsidRDefault="000E2E80" w:rsidP="00FC3DEC">
            <w:pPr>
              <w:rPr>
                <w:b/>
                <w:sz w:val="24"/>
                <w:szCs w:val="24"/>
              </w:rPr>
            </w:pPr>
            <w:r w:rsidRPr="00F36839">
              <w:rPr>
                <w:b/>
                <w:sz w:val="24"/>
                <w:szCs w:val="24"/>
              </w:rPr>
              <w:t>Example 5</w:t>
            </w:r>
          </w:p>
          <w:p w:rsidR="000E2E80" w:rsidRPr="00524452" w:rsidRDefault="000E2E80" w:rsidP="00FC3DEC">
            <w:pPr>
              <w:rPr>
                <w:b/>
                <w:sz w:val="20"/>
                <w:szCs w:val="20"/>
              </w:rPr>
            </w:pPr>
            <w:r w:rsidRPr="00524452">
              <w:rPr>
                <w:b/>
                <w:sz w:val="20"/>
                <w:szCs w:val="20"/>
              </w:rPr>
              <w:t>Failed 3</w:t>
            </w:r>
            <w:r w:rsidRPr="00524452">
              <w:rPr>
                <w:b/>
                <w:sz w:val="20"/>
                <w:szCs w:val="20"/>
                <w:vertAlign w:val="superscript"/>
              </w:rPr>
              <w:t>rd</w:t>
            </w:r>
            <w:r w:rsidRPr="00524452">
              <w:rPr>
                <w:b/>
                <w:sz w:val="20"/>
                <w:szCs w:val="20"/>
              </w:rPr>
              <w:t xml:space="preserve"> 9 weeks but does better the 4</w:t>
            </w:r>
            <w:r w:rsidRPr="00524452">
              <w:rPr>
                <w:b/>
                <w:sz w:val="20"/>
                <w:szCs w:val="20"/>
                <w:vertAlign w:val="superscript"/>
              </w:rPr>
              <w:t>th</w:t>
            </w:r>
            <w:r w:rsidRPr="00524452">
              <w:rPr>
                <w:b/>
                <w:sz w:val="20"/>
                <w:szCs w:val="20"/>
              </w:rPr>
              <w:t xml:space="preserve"> 9 weeks</w:t>
            </w:r>
          </w:p>
        </w:tc>
        <w:tc>
          <w:tcPr>
            <w:tcW w:w="1530" w:type="dxa"/>
          </w:tcPr>
          <w:p w:rsidR="000E2E80" w:rsidRPr="00F36839" w:rsidRDefault="000E2E80" w:rsidP="00FC3DEC">
            <w:pPr>
              <w:rPr>
                <w:sz w:val="24"/>
                <w:szCs w:val="24"/>
              </w:rPr>
            </w:pPr>
            <w:r w:rsidRPr="00F36839">
              <w:rPr>
                <w:sz w:val="24"/>
                <w:szCs w:val="24"/>
              </w:rPr>
              <w:t>60</w:t>
            </w:r>
          </w:p>
        </w:tc>
        <w:tc>
          <w:tcPr>
            <w:tcW w:w="1530" w:type="dxa"/>
          </w:tcPr>
          <w:p w:rsidR="000E2E80" w:rsidRPr="00F36839" w:rsidRDefault="000E2E80" w:rsidP="00FC3DEC">
            <w:pPr>
              <w:rPr>
                <w:sz w:val="24"/>
                <w:szCs w:val="24"/>
              </w:rPr>
            </w:pPr>
            <w:r w:rsidRPr="00F36839">
              <w:rPr>
                <w:sz w:val="24"/>
                <w:szCs w:val="24"/>
              </w:rPr>
              <w:t>80</w:t>
            </w:r>
          </w:p>
        </w:tc>
        <w:tc>
          <w:tcPr>
            <w:tcW w:w="4590" w:type="dxa"/>
          </w:tcPr>
          <w:p w:rsidR="000E2E80" w:rsidRPr="00F36839" w:rsidRDefault="000E2E80" w:rsidP="00FC3DEC">
            <w:pPr>
              <w:rPr>
                <w:sz w:val="24"/>
                <w:szCs w:val="24"/>
              </w:rPr>
            </w:pPr>
            <w:r w:rsidRPr="00F36839">
              <w:rPr>
                <w:sz w:val="24"/>
                <w:szCs w:val="24"/>
              </w:rPr>
              <w:t>(60+80)/2 = 70% Final Semester Grade</w:t>
            </w:r>
          </w:p>
        </w:tc>
      </w:tr>
    </w:tbl>
    <w:p w:rsidR="000E2E80" w:rsidRPr="00C22DE1" w:rsidRDefault="000E2E80" w:rsidP="000E2E80">
      <w:pPr>
        <w:spacing w:after="0"/>
        <w:rPr>
          <w:sz w:val="28"/>
          <w:szCs w:val="28"/>
        </w:rPr>
      </w:pPr>
    </w:p>
    <w:p w:rsidR="000E2E80" w:rsidRPr="00D434DE" w:rsidRDefault="000E2E80" w:rsidP="000E2E80">
      <w:pPr>
        <w:spacing w:after="0"/>
        <w:rPr>
          <w:sz w:val="24"/>
          <w:szCs w:val="24"/>
        </w:rPr>
      </w:pPr>
      <w:r>
        <w:rPr>
          <w:sz w:val="24"/>
          <w:szCs w:val="24"/>
        </w:rPr>
        <w:t>District leaders</w:t>
      </w:r>
      <w:r w:rsidRPr="00D434DE">
        <w:rPr>
          <w:sz w:val="24"/>
          <w:szCs w:val="24"/>
        </w:rPr>
        <w:t xml:space="preserve"> </w:t>
      </w:r>
      <w:r>
        <w:rPr>
          <w:sz w:val="24"/>
          <w:szCs w:val="24"/>
        </w:rPr>
        <w:t>considered all options and determined</w:t>
      </w:r>
      <w:r w:rsidRPr="00D434DE">
        <w:rPr>
          <w:sz w:val="24"/>
          <w:szCs w:val="24"/>
        </w:rPr>
        <w:t xml:space="preserve"> that recording </w:t>
      </w:r>
      <w:r>
        <w:rPr>
          <w:sz w:val="24"/>
          <w:szCs w:val="24"/>
        </w:rPr>
        <w:t>numerical grades is in the best interest of students because</w:t>
      </w:r>
      <w:r w:rsidRPr="00D434DE">
        <w:rPr>
          <w:sz w:val="24"/>
          <w:szCs w:val="24"/>
        </w:rPr>
        <w:t>:</w:t>
      </w:r>
    </w:p>
    <w:p w:rsidR="000E2E80" w:rsidRPr="00D434DE" w:rsidRDefault="000E2E80" w:rsidP="000E2E80">
      <w:pPr>
        <w:spacing w:after="0"/>
        <w:rPr>
          <w:sz w:val="24"/>
          <w:szCs w:val="24"/>
        </w:rPr>
      </w:pPr>
    </w:p>
    <w:p w:rsidR="000E2E80" w:rsidRPr="00D434DE" w:rsidRDefault="000E2E80" w:rsidP="000E2E80">
      <w:pPr>
        <w:pStyle w:val="ListParagraph"/>
        <w:numPr>
          <w:ilvl w:val="0"/>
          <w:numId w:val="1"/>
        </w:numPr>
        <w:spacing w:after="0"/>
        <w:rPr>
          <w:sz w:val="24"/>
          <w:szCs w:val="24"/>
        </w:rPr>
      </w:pPr>
      <w:r w:rsidRPr="00D434DE">
        <w:rPr>
          <w:sz w:val="24"/>
          <w:szCs w:val="24"/>
        </w:rPr>
        <w:t xml:space="preserve">Pass/Fail does not provide all students with the opportunity to raise their overall semester average/GPA by being engaged in their learning in the </w:t>
      </w:r>
      <w:proofErr w:type="gramStart"/>
      <w:r w:rsidRPr="00D434DE">
        <w:rPr>
          <w:sz w:val="24"/>
          <w:szCs w:val="24"/>
        </w:rPr>
        <w:t>4</w:t>
      </w:r>
      <w:r w:rsidRPr="00D434DE">
        <w:rPr>
          <w:sz w:val="24"/>
          <w:szCs w:val="24"/>
          <w:vertAlign w:val="superscript"/>
        </w:rPr>
        <w:t>th</w:t>
      </w:r>
      <w:proofErr w:type="gramEnd"/>
      <w:r w:rsidRPr="00D434DE">
        <w:rPr>
          <w:sz w:val="24"/>
          <w:szCs w:val="24"/>
        </w:rPr>
        <w:t xml:space="preserve"> nine-week grading period</w:t>
      </w:r>
      <w:r w:rsidR="00421FD1">
        <w:rPr>
          <w:sz w:val="24"/>
          <w:szCs w:val="24"/>
        </w:rPr>
        <w:t>.</w:t>
      </w:r>
    </w:p>
    <w:p w:rsidR="000E2E80" w:rsidRPr="00D434DE" w:rsidRDefault="000E2E80" w:rsidP="000E2E80">
      <w:pPr>
        <w:pStyle w:val="ListParagraph"/>
        <w:numPr>
          <w:ilvl w:val="0"/>
          <w:numId w:val="1"/>
        </w:numPr>
        <w:spacing w:after="0"/>
        <w:rPr>
          <w:sz w:val="24"/>
          <w:szCs w:val="24"/>
        </w:rPr>
      </w:pPr>
      <w:r w:rsidRPr="00D434DE">
        <w:rPr>
          <w:sz w:val="24"/>
          <w:szCs w:val="24"/>
        </w:rPr>
        <w:t xml:space="preserve">Having numerical grades for each semester allows high school students in </w:t>
      </w:r>
      <w:proofErr w:type="gramStart"/>
      <w:r w:rsidRPr="00D434DE">
        <w:rPr>
          <w:sz w:val="24"/>
          <w:szCs w:val="24"/>
        </w:rPr>
        <w:t>year-long</w:t>
      </w:r>
      <w:proofErr w:type="gramEnd"/>
      <w:r w:rsidRPr="00D434DE">
        <w:rPr>
          <w:sz w:val="24"/>
          <w:szCs w:val="24"/>
        </w:rPr>
        <w:t xml:space="preserve"> courses to earn full credit if the average of the two semester</w:t>
      </w:r>
      <w:r w:rsidR="00421FD1">
        <w:rPr>
          <w:sz w:val="24"/>
          <w:szCs w:val="24"/>
        </w:rPr>
        <w:t>s</w:t>
      </w:r>
      <w:bookmarkStart w:id="0" w:name="_GoBack"/>
      <w:bookmarkEnd w:id="0"/>
      <w:r w:rsidRPr="00D434DE">
        <w:rPr>
          <w:sz w:val="24"/>
          <w:szCs w:val="24"/>
        </w:rPr>
        <w:t xml:space="preserve"> is 70 or higher.  </w:t>
      </w:r>
    </w:p>
    <w:p w:rsidR="000E2E80" w:rsidRPr="00D434DE" w:rsidRDefault="000E2E80" w:rsidP="000E2E80">
      <w:pPr>
        <w:pStyle w:val="ListParagraph"/>
        <w:numPr>
          <w:ilvl w:val="0"/>
          <w:numId w:val="1"/>
        </w:numPr>
        <w:spacing w:after="0"/>
        <w:rPr>
          <w:sz w:val="24"/>
          <w:szCs w:val="24"/>
        </w:rPr>
      </w:pPr>
      <w:r w:rsidRPr="00D434DE">
        <w:rPr>
          <w:sz w:val="24"/>
          <w:szCs w:val="24"/>
        </w:rPr>
        <w:t>The NCAA Clearinghouse treats a grade of “Pass” as the lowest possible grade.  This would put our students who are interested in collegiate athletics at a disadvantage compared to students coming from districts that recorded numerical grades.</w:t>
      </w:r>
    </w:p>
    <w:p w:rsidR="000E2E80" w:rsidRPr="00D434DE" w:rsidRDefault="000E2E80" w:rsidP="000E2E80">
      <w:pPr>
        <w:spacing w:after="0"/>
        <w:rPr>
          <w:sz w:val="24"/>
          <w:szCs w:val="24"/>
        </w:rPr>
      </w:pPr>
    </w:p>
    <w:p w:rsidR="000E2E80" w:rsidRPr="00D434DE" w:rsidRDefault="000E2E80" w:rsidP="000E2E80">
      <w:pPr>
        <w:spacing w:after="0"/>
        <w:rPr>
          <w:sz w:val="24"/>
          <w:szCs w:val="24"/>
        </w:rPr>
      </w:pPr>
      <w:r w:rsidRPr="00D434DE">
        <w:rPr>
          <w:sz w:val="24"/>
          <w:szCs w:val="24"/>
        </w:rPr>
        <w:t xml:space="preserve">Students enrolled in Dual Credit or </w:t>
      </w:r>
      <w:proofErr w:type="spellStart"/>
      <w:r w:rsidRPr="00D434DE">
        <w:rPr>
          <w:sz w:val="24"/>
          <w:szCs w:val="24"/>
        </w:rPr>
        <w:t>OnRamps</w:t>
      </w:r>
      <w:proofErr w:type="spellEnd"/>
      <w:r w:rsidRPr="00D434DE">
        <w:rPr>
          <w:sz w:val="24"/>
          <w:szCs w:val="24"/>
        </w:rPr>
        <w:t xml:space="preserve"> courses will use the grading requirements provided by College of the Mainland and the University of Texas.</w:t>
      </w:r>
    </w:p>
    <w:p w:rsidR="000E2E80" w:rsidRPr="00D434DE" w:rsidRDefault="000E2E80" w:rsidP="000E2E80">
      <w:pPr>
        <w:spacing w:after="0"/>
        <w:rPr>
          <w:sz w:val="24"/>
          <w:szCs w:val="24"/>
        </w:rPr>
      </w:pPr>
    </w:p>
    <w:p w:rsidR="000E2E80" w:rsidRPr="00D434DE" w:rsidRDefault="000E2E80" w:rsidP="000E2E80">
      <w:pPr>
        <w:spacing w:after="0"/>
        <w:rPr>
          <w:sz w:val="24"/>
          <w:szCs w:val="24"/>
        </w:rPr>
      </w:pPr>
      <w:r>
        <w:rPr>
          <w:sz w:val="24"/>
          <w:szCs w:val="24"/>
        </w:rPr>
        <w:t>STAAR End-of-Course exams</w:t>
      </w:r>
      <w:r w:rsidRPr="00D434DE">
        <w:rPr>
          <w:sz w:val="24"/>
          <w:szCs w:val="24"/>
        </w:rPr>
        <w:t xml:space="preserve"> will not be given in April, May or June 2020.  Normally, passing an EOC exam is a graduation requirement.  However, this school year only, students currently enrolled in EOC tested courses (English I, English II, Algebra I, Biology and U.S. History) will not have to complete the corresponding EOC test provided they earn course credit during the 2019-2020 school year.  </w:t>
      </w:r>
    </w:p>
    <w:p w:rsidR="000E2E80" w:rsidRPr="00D434DE" w:rsidRDefault="000E2E80" w:rsidP="000E2E80">
      <w:pPr>
        <w:spacing w:after="0"/>
        <w:rPr>
          <w:sz w:val="24"/>
          <w:szCs w:val="24"/>
        </w:rPr>
      </w:pPr>
    </w:p>
    <w:p w:rsidR="000E2E80" w:rsidRPr="00D434DE" w:rsidRDefault="000E2E80" w:rsidP="000E2E80">
      <w:pPr>
        <w:spacing w:after="0"/>
        <w:rPr>
          <w:sz w:val="24"/>
          <w:szCs w:val="24"/>
        </w:rPr>
      </w:pPr>
      <w:r w:rsidRPr="00D434DE">
        <w:rPr>
          <w:sz w:val="24"/>
          <w:szCs w:val="24"/>
        </w:rPr>
        <w:t xml:space="preserve">Most seniors have already completed courses that have corresponding EOC assessments.  For seniors who are still working to meet assessment graduation requirements, The Texas Education Agency is waiving the required performance on EOC assessments for the spring of 2020.  </w:t>
      </w:r>
      <w:proofErr w:type="gramStart"/>
      <w:r w:rsidRPr="00D434DE">
        <w:rPr>
          <w:sz w:val="24"/>
          <w:szCs w:val="24"/>
        </w:rPr>
        <w:t>If your student is a senior and has not passed all EOC exams,</w:t>
      </w:r>
      <w:proofErr w:type="gramEnd"/>
      <w:r w:rsidRPr="00D434DE">
        <w:rPr>
          <w:sz w:val="24"/>
          <w:szCs w:val="24"/>
        </w:rPr>
        <w:t xml:space="preserve"> your campus counselor will be contacting you regarding the Individual Graduation Committee process.  </w:t>
      </w:r>
    </w:p>
    <w:p w:rsidR="000E2E80" w:rsidRPr="00D434DE" w:rsidRDefault="000E2E80" w:rsidP="000E2E80">
      <w:pPr>
        <w:spacing w:after="0"/>
        <w:rPr>
          <w:sz w:val="24"/>
          <w:szCs w:val="24"/>
        </w:rPr>
      </w:pPr>
    </w:p>
    <w:p w:rsidR="000E2E80" w:rsidRPr="00D434DE" w:rsidRDefault="000E2E80" w:rsidP="000E2E80">
      <w:pPr>
        <w:spacing w:after="0"/>
        <w:rPr>
          <w:b/>
          <w:sz w:val="24"/>
          <w:szCs w:val="24"/>
        </w:rPr>
      </w:pPr>
    </w:p>
    <w:p w:rsidR="000E2E80" w:rsidRPr="00D434DE" w:rsidRDefault="000E2E80" w:rsidP="000E2E80">
      <w:pPr>
        <w:spacing w:after="0"/>
        <w:rPr>
          <w:b/>
          <w:sz w:val="24"/>
          <w:szCs w:val="24"/>
        </w:rPr>
      </w:pPr>
      <w:r w:rsidRPr="00D434DE">
        <w:rPr>
          <w:b/>
          <w:sz w:val="24"/>
          <w:szCs w:val="24"/>
        </w:rPr>
        <w:t>Summary</w:t>
      </w:r>
    </w:p>
    <w:p w:rsidR="000E2E80" w:rsidRPr="00D434DE" w:rsidRDefault="000E2E80" w:rsidP="000E2E80">
      <w:pPr>
        <w:spacing w:after="0"/>
        <w:rPr>
          <w:sz w:val="24"/>
          <w:szCs w:val="24"/>
        </w:rPr>
      </w:pPr>
      <w:r w:rsidRPr="00D434DE">
        <w:rPr>
          <w:sz w:val="24"/>
          <w:szCs w:val="24"/>
        </w:rPr>
        <w:t xml:space="preserve">Until students are able to return to school, teachers will continue to monitor student progress, provide instruction and support to students at home and communicate regularly with families.  Work </w:t>
      </w:r>
      <w:proofErr w:type="gramStart"/>
      <w:r w:rsidRPr="00D434DE">
        <w:rPr>
          <w:sz w:val="24"/>
          <w:szCs w:val="24"/>
        </w:rPr>
        <w:t>will be reviewed</w:t>
      </w:r>
      <w:proofErr w:type="gramEnd"/>
      <w:r w:rsidRPr="00D434DE">
        <w:rPr>
          <w:sz w:val="24"/>
          <w:szCs w:val="24"/>
        </w:rPr>
        <w:t xml:space="preserve"> and grades will be posted in Skyward.  If you have concerns or need assistance, please contact your child’s campus principal.</w:t>
      </w:r>
    </w:p>
    <w:p w:rsidR="000E2E80" w:rsidRPr="00D434DE" w:rsidRDefault="000E2E80" w:rsidP="000E2E80">
      <w:pPr>
        <w:spacing w:after="0"/>
        <w:rPr>
          <w:color w:val="002060"/>
          <w:sz w:val="24"/>
          <w:szCs w:val="24"/>
        </w:rPr>
      </w:pPr>
    </w:p>
    <w:p w:rsidR="00030A17" w:rsidRDefault="00030A17" w:rsidP="000E2E80">
      <w:pPr>
        <w:spacing w:after="0"/>
        <w:rPr>
          <w:color w:val="002060"/>
          <w:sz w:val="28"/>
          <w:szCs w:val="28"/>
        </w:rPr>
      </w:pPr>
    </w:p>
    <w:p w:rsidR="00030A17" w:rsidRPr="00924BA6" w:rsidRDefault="00030A17" w:rsidP="00030A17">
      <w:pPr>
        <w:spacing w:after="0"/>
        <w:rPr>
          <w:color w:val="002060"/>
          <w:sz w:val="28"/>
          <w:szCs w:val="28"/>
        </w:rPr>
      </w:pPr>
    </w:p>
    <w:sectPr w:rsidR="00030A17" w:rsidRPr="00924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963BF"/>
    <w:multiLevelType w:val="hybridMultilevel"/>
    <w:tmpl w:val="9F58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6B"/>
    <w:rsid w:val="00030A17"/>
    <w:rsid w:val="000E2E80"/>
    <w:rsid w:val="00165D6A"/>
    <w:rsid w:val="00421FD1"/>
    <w:rsid w:val="00527A2C"/>
    <w:rsid w:val="00751F6B"/>
    <w:rsid w:val="00924BA6"/>
    <w:rsid w:val="00AE232D"/>
    <w:rsid w:val="00D54D9E"/>
    <w:rsid w:val="00E24AFF"/>
    <w:rsid w:val="00FF1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0C09"/>
  <w15:chartTrackingRefBased/>
  <w15:docId w15:val="{B98CD9FC-9497-4077-BAF7-39F9EF1D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2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E80"/>
    <w:pPr>
      <w:ind w:left="720"/>
      <w:contextualSpacing/>
    </w:pPr>
  </w:style>
  <w:style w:type="paragraph" w:styleId="BalloonText">
    <w:name w:val="Balloon Text"/>
    <w:basedOn w:val="Normal"/>
    <w:link w:val="BalloonTextChar"/>
    <w:uiPriority w:val="99"/>
    <w:semiHidden/>
    <w:unhideWhenUsed/>
    <w:rsid w:val="000E2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E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1E1A995D-919D-4AEE-842E-2F387CCE724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Burchfield, Terri</dc:creator>
  <cp:keywords/>
  <dc:description/>
  <cp:lastModifiedBy>Anderson, Anne</cp:lastModifiedBy>
  <cp:revision>2</cp:revision>
  <cp:lastPrinted>2020-04-09T13:49:00Z</cp:lastPrinted>
  <dcterms:created xsi:type="dcterms:W3CDTF">2020-04-09T18:32:00Z</dcterms:created>
  <dcterms:modified xsi:type="dcterms:W3CDTF">2020-04-09T18:32:00Z</dcterms:modified>
</cp:coreProperties>
</file>